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pPr>
    </w:p>
    <w:p>
      <w:pPr>
        <w:pStyle w:val="291"/>
        <w:ind w:right="420" w:firstLine="5460" w:firstLineChars="2600"/>
        <w:jc w:val="both"/>
      </w:pPr>
      <w:r>
        <w:rPr>
          <w:rFonts w:hint="eastAsia"/>
        </w:rPr>
        <w:t>采购项目编号：XRZB202204001</w:t>
      </w: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hint="eastAsia" w:cs="Times New Roman"/>
          <w:spacing w:val="26"/>
          <w:kern w:val="2"/>
          <w:sz w:val="72"/>
          <w:szCs w:val="20"/>
        </w:rPr>
        <w:t>单一来源采购采购文件</w:t>
      </w:r>
    </w:p>
    <w:p>
      <w:pPr>
        <w:tabs>
          <w:tab w:val="clear" w:pos="426"/>
        </w:tabs>
      </w:pPr>
    </w:p>
    <w:p>
      <w:pPr>
        <w:tabs>
          <w:tab w:val="clear" w:pos="426"/>
        </w:tabs>
      </w:pPr>
    </w:p>
    <w:p>
      <w:pPr>
        <w:tabs>
          <w:tab w:val="clear" w:pos="426"/>
        </w:tabs>
      </w:pPr>
    </w:p>
    <w:p>
      <w:pPr>
        <w:tabs>
          <w:tab w:val="clear" w:pos="426"/>
        </w:tabs>
      </w:pPr>
    </w:p>
    <w:p>
      <w:pPr>
        <w:pStyle w:val="293"/>
      </w:pPr>
      <w:r>
        <w:rPr>
          <w:rFonts w:hint="eastAsia"/>
        </w:rPr>
        <w:t>【服务</w:t>
      </w:r>
      <w:r>
        <w:t>类</w:t>
      </w:r>
      <w:r>
        <w:rPr>
          <w:rFonts w:hint="eastAsia"/>
        </w:rPr>
        <w:t>】</w:t>
      </w:r>
    </w:p>
    <w:p>
      <w:pPr>
        <w:tabs>
          <w:tab w:val="clear" w:pos="426"/>
        </w:tabs>
      </w:pPr>
    </w:p>
    <w:p>
      <w:pPr>
        <w:tabs>
          <w:tab w:val="clear" w:pos="426"/>
        </w:tabs>
      </w:pPr>
    </w:p>
    <w:p>
      <w:pPr>
        <w:tabs>
          <w:tab w:val="clear" w:pos="426"/>
        </w:tabs>
      </w:pPr>
    </w:p>
    <w:p>
      <w:pPr>
        <w:widowControl w:val="0"/>
        <w:shd w:val="clear" w:color="auto" w:fill="auto"/>
        <w:tabs>
          <w:tab w:val="clear" w:pos="426"/>
        </w:tabs>
        <w:adjustRightInd/>
        <w:snapToGrid/>
        <w:spacing w:line="300" w:lineRule="auto"/>
        <w:ind w:left="1798" w:leftChars="142" w:right="-283" w:rightChars="-135" w:hanging="1500" w:hangingChars="500"/>
        <w:jc w:val="left"/>
        <w:rPr>
          <w:rFonts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第一届民谣音乐节暨水木年华系列演出活动</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u w:val="single"/>
        </w:rPr>
      </w:pPr>
    </w:p>
    <w:p>
      <w:pPr>
        <w:widowControl w:val="0"/>
        <w:shd w:val="clear" w:color="auto" w:fill="auto"/>
        <w:tabs>
          <w:tab w:val="clear" w:pos="426"/>
        </w:tabs>
        <w:adjustRightInd/>
        <w:snapToGrid/>
        <w:spacing w:line="300" w:lineRule="auto"/>
        <w:ind w:left="1498" w:leftChars="142" w:hanging="1200" w:hangingChars="400"/>
        <w:rPr>
          <w:rFonts w:cs="Times New Roman"/>
          <w:kern w:val="2"/>
          <w:sz w:val="30"/>
          <w:szCs w:val="20"/>
          <w:u w:val="single"/>
        </w:rPr>
      </w:pPr>
      <w:r>
        <w:rPr>
          <w:rFonts w:hint="eastAsia" w:cs="Times New Roman"/>
          <w:kern w:val="2"/>
          <w:sz w:val="30"/>
          <w:szCs w:val="20"/>
        </w:rPr>
        <w:t>采购人名称：</w:t>
      </w:r>
      <w:r>
        <w:rPr>
          <w:rFonts w:hint="eastAsia" w:cs="Times New Roman"/>
          <w:kern w:val="2"/>
          <w:sz w:val="30"/>
          <w:szCs w:val="20"/>
          <w:u w:val="single"/>
        </w:rPr>
        <w:t>深圳市龙华区文化广电旅游体育局</w:t>
      </w:r>
    </w:p>
    <w:p>
      <w:pPr>
        <w:widowControl w:val="0"/>
        <w:shd w:val="clear" w:color="auto" w:fill="auto"/>
        <w:tabs>
          <w:tab w:val="clear" w:pos="426"/>
        </w:tabs>
        <w:adjustRightInd/>
        <w:snapToGrid/>
        <w:spacing w:line="300" w:lineRule="auto"/>
        <w:ind w:left="1500" w:hanging="1500" w:hangingChars="500"/>
        <w:rPr>
          <w:rFonts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pPr>
      <w:r>
        <w:rPr>
          <w:rFonts w:hint="eastAsia" w:cs="Times New Roman"/>
          <w:kern w:val="2"/>
          <w:sz w:val="30"/>
          <w:szCs w:val="20"/>
        </w:rPr>
        <w:t>采购代理机构名称：</w:t>
      </w:r>
      <w:r>
        <w:rPr>
          <w:rFonts w:hint="eastAsia" w:cs="Times New Roman"/>
          <w:kern w:val="2"/>
          <w:sz w:val="30"/>
          <w:szCs w:val="20"/>
          <w:u w:val="single"/>
        </w:rPr>
        <w:t>深圳市鑫润招标代理有限公司</w:t>
      </w:r>
      <w:r>
        <w:br w:type="page"/>
      </w:r>
    </w:p>
    <w:p>
      <w:pPr>
        <w:pStyle w:val="299"/>
      </w:pPr>
      <w:r>
        <w:rPr>
          <w:rFonts w:hint="eastAsia"/>
          <w:b w:val="0"/>
          <w:sz w:val="44"/>
          <w:szCs w:val="44"/>
        </w:rPr>
        <w:t>目</w:t>
      </w:r>
      <w:r>
        <w:rPr>
          <w:b w:val="0"/>
          <w:sz w:val="44"/>
          <w:szCs w:val="44"/>
        </w:rPr>
        <w:t xml:space="preserve">   </w:t>
      </w:r>
      <w:r>
        <w:rPr>
          <w:rFonts w:hint="eastAsia"/>
          <w:b w:val="0"/>
          <w:sz w:val="44"/>
          <w:szCs w:val="44"/>
        </w:rPr>
        <w:t>录</w:t>
      </w:r>
    </w:p>
    <w:p>
      <w:pPr>
        <w:pStyle w:val="31"/>
        <w:rPr>
          <w:rFonts w:asciiTheme="minorHAnsi" w:hAnsiTheme="minorHAnsi" w:eastAsiaTheme="minorEastAsia" w:cstheme="minorBidi"/>
          <w:b w:val="0"/>
          <w:bCs w:val="0"/>
          <w:caps w:val="0"/>
          <w:kern w:val="2"/>
          <w:sz w:val="21"/>
          <w:szCs w:val="22"/>
        </w:rPr>
      </w:pPr>
      <w:r>
        <w:fldChar w:fldCharType="begin"/>
      </w:r>
      <w:r>
        <w:instrText xml:space="preserve"> TOC \o "1-2" \h \z \u </w:instrText>
      </w:r>
      <w:r>
        <w:fldChar w:fldCharType="separate"/>
      </w:r>
      <w:r>
        <w:fldChar w:fldCharType="begin"/>
      </w:r>
      <w:r>
        <w:instrText xml:space="preserve"> HYPERLINK \l "_Toc96519534" </w:instrText>
      </w:r>
      <w:r>
        <w:fldChar w:fldCharType="separate"/>
      </w:r>
      <w:r>
        <w:rPr>
          <w:rStyle w:val="52"/>
          <w:rFonts w:hint="eastAsia"/>
        </w:rPr>
        <w:t>第一册</w:t>
      </w:r>
      <w:r>
        <w:rPr>
          <w:rStyle w:val="52"/>
        </w:rPr>
        <w:t xml:space="preserve">  </w:t>
      </w:r>
      <w:r>
        <w:rPr>
          <w:rStyle w:val="52"/>
          <w:rFonts w:hint="eastAsia"/>
        </w:rPr>
        <w:t>专用条款</w:t>
      </w:r>
      <w:r>
        <w:tab/>
      </w:r>
      <w:r>
        <w:fldChar w:fldCharType="begin"/>
      </w:r>
      <w:r>
        <w:instrText xml:space="preserve"> PAGEREF _Toc96519534 \h </w:instrText>
      </w:r>
      <w:r>
        <w:fldChar w:fldCharType="separate"/>
      </w:r>
      <w:r>
        <w:t>1</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"_Toc96519535" </w:instrText>
      </w:r>
      <w:r>
        <w:fldChar w:fldCharType="separate"/>
      </w:r>
      <w:r>
        <w:rPr>
          <w:rStyle w:val="52"/>
          <w:rFonts w:hint="eastAsia"/>
        </w:rPr>
        <w:t>特别警示条款</w:t>
      </w:r>
      <w:r>
        <w:tab/>
      </w:r>
      <w:r>
        <w:fldChar w:fldCharType="begin"/>
      </w:r>
      <w:r>
        <w:instrText xml:space="preserve"> PAGEREF _Toc96519535 \h </w:instrText>
      </w:r>
      <w:r>
        <w:fldChar w:fldCharType="separate"/>
      </w:r>
      <w:r>
        <w:t>1</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"_Toc96519536" </w:instrText>
      </w:r>
      <w:r>
        <w:fldChar w:fldCharType="separate"/>
      </w:r>
      <w:r>
        <w:rPr>
          <w:rStyle w:val="52"/>
          <w:rFonts w:hint="eastAsia"/>
        </w:rPr>
        <w:t>关键信息</w:t>
      </w:r>
      <w:r>
        <w:tab/>
      </w:r>
      <w:r>
        <w:fldChar w:fldCharType="begin"/>
      </w:r>
      <w:r>
        <w:instrText xml:space="preserve"> PAGEREF _Toc96519536 \h </w:instrText>
      </w:r>
      <w:r>
        <w:fldChar w:fldCharType="separate"/>
      </w:r>
      <w:r>
        <w:t>3</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"_Toc96519537" </w:instrText>
      </w:r>
      <w:r>
        <w:fldChar w:fldCharType="separate"/>
      </w:r>
      <w:r>
        <w:rPr>
          <w:rStyle w:val="52"/>
          <w:rFonts w:hint="eastAsia"/>
        </w:rPr>
        <w:t>第一章</w:t>
      </w:r>
      <w:r>
        <w:rPr>
          <w:rStyle w:val="52"/>
        </w:rPr>
        <w:t xml:space="preserve"> </w:t>
      </w:r>
      <w:r>
        <w:rPr>
          <w:rStyle w:val="52"/>
          <w:rFonts w:hint="eastAsia"/>
        </w:rPr>
        <w:t>单一来源采购公告</w:t>
      </w:r>
      <w:r>
        <w:tab/>
      </w:r>
      <w:r>
        <w:fldChar w:fldCharType="begin"/>
      </w:r>
      <w:r>
        <w:instrText xml:space="preserve"> PAGEREF _Toc96519537 \h </w:instrText>
      </w:r>
      <w:r>
        <w:fldChar w:fldCharType="separate"/>
      </w:r>
      <w:r>
        <w:t>13</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"_Toc96519538" </w:instrText>
      </w:r>
      <w:r>
        <w:fldChar w:fldCharType="separate"/>
      </w:r>
      <w:r>
        <w:rPr>
          <w:rStyle w:val="52"/>
          <w:rFonts w:hint="eastAsia"/>
        </w:rPr>
        <w:t>第二章</w:t>
      </w:r>
      <w:r>
        <w:rPr>
          <w:rStyle w:val="52"/>
        </w:rPr>
        <w:t xml:space="preserve"> </w:t>
      </w:r>
      <w:r>
        <w:rPr>
          <w:rStyle w:val="52"/>
          <w:rFonts w:hint="eastAsia"/>
        </w:rPr>
        <w:t>谈判应答须知前附表</w:t>
      </w:r>
      <w:r>
        <w:tab/>
      </w:r>
      <w:r>
        <w:fldChar w:fldCharType="begin"/>
      </w:r>
      <w:r>
        <w:instrText xml:space="preserve"> PAGEREF _Toc96519538 \h </w:instrText>
      </w:r>
      <w:r>
        <w:fldChar w:fldCharType="separate"/>
      </w:r>
      <w:r>
        <w:t>16</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"_Toc96519539" </w:instrText>
      </w:r>
      <w:r>
        <w:fldChar w:fldCharType="separate"/>
      </w:r>
      <w:r>
        <w:rPr>
          <w:rStyle w:val="52"/>
          <w:rFonts w:hint="eastAsia"/>
        </w:rPr>
        <w:t>第三章</w:t>
      </w:r>
      <w:r>
        <w:rPr>
          <w:rStyle w:val="52"/>
        </w:rPr>
        <w:t xml:space="preserve"> </w:t>
      </w:r>
      <w:r>
        <w:rPr>
          <w:rStyle w:val="52"/>
          <w:rFonts w:hint="eastAsia"/>
        </w:rPr>
        <w:t>项目需求</w:t>
      </w:r>
      <w:r>
        <w:tab/>
      </w:r>
      <w:r>
        <w:fldChar w:fldCharType="begin"/>
      </w:r>
      <w:r>
        <w:instrText xml:space="preserve"> PAGEREF _Toc96519539 \h </w:instrText>
      </w:r>
      <w:r>
        <w:fldChar w:fldCharType="separate"/>
      </w:r>
      <w:r>
        <w:t>17</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"_Toc96519540" </w:instrText>
      </w:r>
      <w:r>
        <w:fldChar w:fldCharType="separate"/>
      </w:r>
      <w:r>
        <w:rPr>
          <w:rStyle w:val="52"/>
          <w:rFonts w:hint="eastAsia"/>
        </w:rPr>
        <w:t>第四章</w:t>
      </w:r>
      <w:r>
        <w:rPr>
          <w:rStyle w:val="52"/>
        </w:rPr>
        <w:t xml:space="preserve"> </w:t>
      </w:r>
      <w:r>
        <w:rPr>
          <w:rStyle w:val="52"/>
          <w:rFonts w:hint="eastAsia"/>
        </w:rPr>
        <w:t>政府采购合同的签订、履约及验收</w:t>
      </w:r>
      <w:r>
        <w:tab/>
      </w:r>
      <w:r>
        <w:fldChar w:fldCharType="begin"/>
      </w:r>
      <w:r>
        <w:instrText xml:space="preserve"> PAGEREF _Toc96519540 \h </w:instrText>
      </w:r>
      <w:r>
        <w:fldChar w:fldCharType="separate"/>
      </w:r>
      <w:r>
        <w:t>19</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"_Toc96519541" </w:instrText>
      </w:r>
      <w:r>
        <w:fldChar w:fldCharType="separate"/>
      </w:r>
      <w:r>
        <w:rPr>
          <w:rStyle w:val="52"/>
          <w:rFonts w:hint="eastAsia"/>
        </w:rPr>
        <w:t>第五章</w:t>
      </w:r>
      <w:r>
        <w:rPr>
          <w:rStyle w:val="52"/>
        </w:rPr>
        <w:t xml:space="preserve"> </w:t>
      </w:r>
      <w:r>
        <w:rPr>
          <w:rStyle w:val="52"/>
          <w:rFonts w:hint="eastAsia"/>
        </w:rPr>
        <w:t>谈判应答文件格式、附件</w:t>
      </w:r>
      <w:r>
        <w:tab/>
      </w:r>
      <w:r>
        <w:fldChar w:fldCharType="begin"/>
      </w:r>
      <w:r>
        <w:instrText xml:space="preserve"> PAGEREF _Toc96519541 \h </w:instrText>
      </w:r>
      <w:r>
        <w:fldChar w:fldCharType="separate"/>
      </w:r>
      <w:r>
        <w:t>24</w:t>
      </w:r>
      <w:r>
        <w:fldChar w:fldCharType="end"/>
      </w:r>
      <w:r>
        <w:fldChar w:fldCharType="end"/>
      </w:r>
    </w:p>
    <w:p>
      <w:pPr>
        <w:pStyle w:val="31"/>
        <w:rPr>
          <w:rFonts w:asciiTheme="minorHAnsi" w:hAnsiTheme="minorHAnsi" w:eastAsiaTheme="minorEastAsia" w:cstheme="minorBidi"/>
          <w:b w:val="0"/>
          <w:bCs w:val="0"/>
          <w:caps w:val="0"/>
          <w:kern w:val="2"/>
          <w:sz w:val="21"/>
          <w:szCs w:val="22"/>
        </w:rPr>
      </w:pPr>
      <w:r>
        <w:fldChar w:fldCharType="begin"/>
      </w:r>
      <w:r>
        <w:instrText xml:space="preserve"> HYPERLINK \l "_Toc96519542" </w:instrText>
      </w:r>
      <w:r>
        <w:fldChar w:fldCharType="separate"/>
      </w:r>
      <w:r>
        <w:rPr>
          <w:rStyle w:val="52"/>
          <w:rFonts w:hint="eastAsia" w:ascii="Arial" w:hAnsi="Arial" w:cs="Times New Roman"/>
        </w:rPr>
        <w:t>第二册</w:t>
      </w:r>
      <w:r>
        <w:rPr>
          <w:rStyle w:val="52"/>
          <w:rFonts w:ascii="Arial" w:hAnsi="Arial" w:cs="Times New Roman"/>
        </w:rPr>
        <w:t xml:space="preserve">  </w:t>
      </w:r>
      <w:r>
        <w:rPr>
          <w:rStyle w:val="52"/>
          <w:rFonts w:hint="eastAsia" w:ascii="Arial" w:hAnsi="Arial" w:cs="Times New Roman"/>
        </w:rPr>
        <w:t>通用条款</w:t>
      </w:r>
      <w:r>
        <w:rPr>
          <w:b w:val="0"/>
        </w:rPr>
        <w:tab/>
      </w:r>
      <w:r>
        <w:rPr>
          <w:b w:val="0"/>
        </w:rPr>
        <w:fldChar w:fldCharType="begin"/>
      </w:r>
      <w:r>
        <w:rPr>
          <w:b w:val="0"/>
        </w:rPr>
        <w:instrText xml:space="preserve"> PAGEREF _Toc96519542 \h </w:instrText>
      </w:r>
      <w:r>
        <w:rPr>
          <w:b w:val="0"/>
        </w:rPr>
        <w:fldChar w:fldCharType="separate"/>
      </w:r>
      <w:r>
        <w:rPr>
          <w:b w:val="0"/>
        </w:rPr>
        <w:t>42</w:t>
      </w:r>
      <w:r>
        <w:rPr>
          <w:b w:val="0"/>
        </w:rPr>
        <w:fldChar w:fldCharType="end"/>
      </w:r>
      <w:r>
        <w:rPr>
          <w:b w:val="0"/>
        </w:rP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"_Toc96519543" </w:instrText>
      </w:r>
      <w:r>
        <w:fldChar w:fldCharType="separate"/>
      </w:r>
      <w:r>
        <w:rPr>
          <w:rStyle w:val="52"/>
          <w:rFonts w:hint="eastAsia" w:cs="Times New Roman"/>
        </w:rPr>
        <w:t>第一章</w:t>
      </w:r>
      <w:r>
        <w:rPr>
          <w:rStyle w:val="52"/>
          <w:rFonts w:cs="Times New Roman"/>
        </w:rPr>
        <w:t xml:space="preserve"> </w:t>
      </w:r>
      <w:r>
        <w:rPr>
          <w:rStyle w:val="52"/>
          <w:rFonts w:hint="eastAsia" w:cs="Times New Roman"/>
        </w:rPr>
        <w:t>总则</w:t>
      </w:r>
      <w:r>
        <w:tab/>
      </w:r>
      <w:r>
        <w:fldChar w:fldCharType="begin"/>
      </w:r>
      <w:r>
        <w:instrText xml:space="preserve"> PAGEREF _Toc96519543 \h </w:instrText>
      </w:r>
      <w:r>
        <w:fldChar w:fldCharType="separate"/>
      </w:r>
      <w:r>
        <w:t>42</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"_Toc96519544" </w:instrText>
      </w:r>
      <w:r>
        <w:fldChar w:fldCharType="separate"/>
      </w:r>
      <w:r>
        <w:rPr>
          <w:rStyle w:val="52"/>
          <w:rFonts w:hint="eastAsia" w:cs="Times New Roman"/>
        </w:rPr>
        <w:t>第二章</w:t>
      </w:r>
      <w:r>
        <w:rPr>
          <w:rStyle w:val="52"/>
          <w:rFonts w:cs="Times New Roman"/>
        </w:rPr>
        <w:t xml:space="preserve"> </w:t>
      </w:r>
      <w:r>
        <w:rPr>
          <w:rStyle w:val="52"/>
          <w:rFonts w:hint="eastAsia" w:cs="Times New Roman"/>
        </w:rPr>
        <w:t>单一来源采购文件</w:t>
      </w:r>
      <w:r>
        <w:tab/>
      </w:r>
      <w:r>
        <w:fldChar w:fldCharType="begin"/>
      </w:r>
      <w:r>
        <w:instrText xml:space="preserve"> PAGEREF _Toc96519544 \h </w:instrText>
      </w:r>
      <w:r>
        <w:fldChar w:fldCharType="separate"/>
      </w:r>
      <w:r>
        <w:t>44</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"_Toc96519545" </w:instrText>
      </w:r>
      <w:r>
        <w:fldChar w:fldCharType="separate"/>
      </w:r>
      <w:r>
        <w:rPr>
          <w:rStyle w:val="52"/>
          <w:rFonts w:hint="eastAsia" w:cs="Times New Roman"/>
        </w:rPr>
        <w:t>第三章</w:t>
      </w:r>
      <w:r>
        <w:rPr>
          <w:rStyle w:val="52"/>
          <w:rFonts w:cs="Times New Roman"/>
        </w:rPr>
        <w:t xml:space="preserve"> </w:t>
      </w:r>
      <w:r>
        <w:rPr>
          <w:rStyle w:val="52"/>
          <w:rFonts w:hint="eastAsia" w:cs="Times New Roman"/>
        </w:rPr>
        <w:t>谈判应答文件的编制与递交</w:t>
      </w:r>
      <w:r>
        <w:tab/>
      </w:r>
      <w:r>
        <w:fldChar w:fldCharType="begin"/>
      </w:r>
      <w:r>
        <w:instrText xml:space="preserve"> PAGEREF _Toc96519545 \h </w:instrText>
      </w:r>
      <w:r>
        <w:fldChar w:fldCharType="separate"/>
      </w:r>
      <w:r>
        <w:t>46</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"_Toc96519546" </w:instrText>
      </w:r>
      <w:r>
        <w:fldChar w:fldCharType="separate"/>
      </w:r>
      <w:r>
        <w:rPr>
          <w:rStyle w:val="52"/>
          <w:rFonts w:hint="eastAsia" w:cs="Times New Roman"/>
        </w:rPr>
        <w:t>第四章</w:t>
      </w:r>
      <w:r>
        <w:rPr>
          <w:rStyle w:val="52"/>
          <w:rFonts w:cs="Times New Roman"/>
        </w:rPr>
        <w:t xml:space="preserve"> </w:t>
      </w:r>
      <w:r>
        <w:rPr>
          <w:rStyle w:val="52"/>
          <w:rFonts w:hint="eastAsia" w:cs="Times New Roman"/>
        </w:rPr>
        <w:t>谈判要求</w:t>
      </w:r>
      <w:r>
        <w:tab/>
      </w:r>
      <w:r>
        <w:fldChar w:fldCharType="begin"/>
      </w:r>
      <w:r>
        <w:instrText xml:space="preserve"> PAGEREF _Toc96519546 \h </w:instrText>
      </w:r>
      <w:r>
        <w:fldChar w:fldCharType="separate"/>
      </w:r>
      <w:r>
        <w:t>50</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"_Toc96519547" </w:instrText>
      </w:r>
      <w:r>
        <w:fldChar w:fldCharType="separate"/>
      </w:r>
      <w:r>
        <w:rPr>
          <w:rStyle w:val="52"/>
          <w:rFonts w:hint="eastAsia" w:cs="Times New Roman"/>
        </w:rPr>
        <w:t>第五章</w:t>
      </w:r>
      <w:r>
        <w:rPr>
          <w:rStyle w:val="52"/>
          <w:rFonts w:cs="Times New Roman"/>
        </w:rPr>
        <w:t xml:space="preserve"> </w:t>
      </w:r>
      <w:r>
        <w:rPr>
          <w:rStyle w:val="52"/>
          <w:rFonts w:hint="eastAsia" w:cs="Times New Roman"/>
        </w:rPr>
        <w:t>谈判程序及谈判方法</w:t>
      </w:r>
      <w:r>
        <w:tab/>
      </w:r>
      <w:r>
        <w:fldChar w:fldCharType="begin"/>
      </w:r>
      <w:r>
        <w:instrText xml:space="preserve"> PAGEREF _Toc96519547 \h </w:instrText>
      </w:r>
      <w:r>
        <w:fldChar w:fldCharType="separate"/>
      </w:r>
      <w:r>
        <w:t>50</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"_Toc96519548" </w:instrText>
      </w:r>
      <w:r>
        <w:fldChar w:fldCharType="separate"/>
      </w:r>
      <w:r>
        <w:rPr>
          <w:rStyle w:val="52"/>
          <w:rFonts w:hint="eastAsia" w:cs="Times New Roman"/>
        </w:rPr>
        <w:t>第六章</w:t>
      </w:r>
      <w:r>
        <w:rPr>
          <w:rStyle w:val="52"/>
          <w:rFonts w:cs="Times New Roman"/>
        </w:rPr>
        <w:t xml:space="preserve"> </w:t>
      </w:r>
      <w:r>
        <w:rPr>
          <w:rStyle w:val="52"/>
          <w:rFonts w:hint="eastAsia" w:cs="Times New Roman"/>
        </w:rPr>
        <w:t>公示及成交</w:t>
      </w:r>
      <w:r>
        <w:tab/>
      </w:r>
      <w:r>
        <w:fldChar w:fldCharType="begin"/>
      </w:r>
      <w:r>
        <w:instrText xml:space="preserve"> PAGEREF _Toc96519548 \h </w:instrText>
      </w:r>
      <w:r>
        <w:fldChar w:fldCharType="separate"/>
      </w:r>
      <w:r>
        <w:t>52</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"_Toc96519549" </w:instrText>
      </w:r>
      <w:r>
        <w:fldChar w:fldCharType="separate"/>
      </w:r>
      <w:r>
        <w:rPr>
          <w:rStyle w:val="52"/>
          <w:rFonts w:hint="eastAsia" w:cs="Times New Roman"/>
        </w:rPr>
        <w:t>第七章</w:t>
      </w:r>
      <w:r>
        <w:rPr>
          <w:rStyle w:val="52"/>
          <w:rFonts w:cs="Times New Roman"/>
        </w:rPr>
        <w:t xml:space="preserve"> </w:t>
      </w:r>
      <w:r>
        <w:rPr>
          <w:rStyle w:val="52"/>
          <w:rFonts w:hint="eastAsia" w:cs="Times New Roman"/>
        </w:rPr>
        <w:t>供应商工作范围</w:t>
      </w:r>
      <w:r>
        <w:tab/>
      </w:r>
      <w:r>
        <w:fldChar w:fldCharType="begin"/>
      </w:r>
      <w:r>
        <w:instrText xml:space="preserve"> PAGEREF _Toc96519549 \h </w:instrText>
      </w:r>
      <w:r>
        <w:fldChar w:fldCharType="separate"/>
      </w:r>
      <w:r>
        <w:t>53</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"_Toc96519550" </w:instrText>
      </w:r>
      <w:r>
        <w:fldChar w:fldCharType="separate"/>
      </w:r>
      <w:r>
        <w:rPr>
          <w:rStyle w:val="52"/>
          <w:rFonts w:hint="eastAsia" w:cs="Times New Roman"/>
        </w:rPr>
        <w:t>第八章</w:t>
      </w:r>
      <w:r>
        <w:rPr>
          <w:rStyle w:val="52"/>
          <w:rFonts w:cs="Times New Roman"/>
        </w:rPr>
        <w:t xml:space="preserve"> </w:t>
      </w:r>
      <w:r>
        <w:rPr>
          <w:rStyle w:val="52"/>
          <w:rFonts w:hint="eastAsia" w:cs="Times New Roman"/>
        </w:rPr>
        <w:t>合同的授予与备案</w:t>
      </w:r>
      <w:r>
        <w:tab/>
      </w:r>
      <w:r>
        <w:fldChar w:fldCharType="begin"/>
      </w:r>
      <w:r>
        <w:instrText xml:space="preserve"> PAGEREF _Toc96519550 \h </w:instrText>
      </w:r>
      <w:r>
        <w:fldChar w:fldCharType="separate"/>
      </w:r>
      <w:r>
        <w:t>53</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"_Toc96519551" </w:instrText>
      </w:r>
      <w:r>
        <w:fldChar w:fldCharType="separate"/>
      </w:r>
      <w:r>
        <w:rPr>
          <w:rStyle w:val="52"/>
          <w:rFonts w:hint="eastAsia" w:cs="Times New Roman"/>
        </w:rPr>
        <w:t>第九章</w:t>
      </w:r>
      <w:r>
        <w:rPr>
          <w:rStyle w:val="52"/>
          <w:rFonts w:cs="Times New Roman"/>
        </w:rPr>
        <w:t xml:space="preserve"> </w:t>
      </w:r>
      <w:r>
        <w:rPr>
          <w:rStyle w:val="52"/>
          <w:rFonts w:hint="eastAsia" w:cs="Times New Roman"/>
        </w:rPr>
        <w:t>质疑受理</w:t>
      </w:r>
      <w:r>
        <w:tab/>
      </w:r>
      <w:r>
        <w:fldChar w:fldCharType="begin"/>
      </w:r>
      <w:r>
        <w:instrText xml:space="preserve"> PAGEREF _Toc96519551 \h </w:instrText>
      </w:r>
      <w:r>
        <w:fldChar w:fldCharType="separate"/>
      </w:r>
      <w:r>
        <w:t>54</w:t>
      </w:r>
      <w:r>
        <w:fldChar w:fldCharType="end"/>
      </w:r>
      <w:r>
        <w:fldChar w:fldCharType="end"/>
      </w:r>
    </w:p>
    <w:p>
      <w:pPr>
        <w:pStyle w:val="36"/>
        <w:rPr>
          <w:rFonts w:asciiTheme="minorHAnsi" w:hAnsiTheme="minorHAnsi" w:eastAsiaTheme="minorEastAsia" w:cstheme="minorBidi"/>
          <w:smallCaps w:val="0"/>
          <w:kern w:val="2"/>
          <w:sz w:val="21"/>
          <w:szCs w:val="22"/>
        </w:rPr>
      </w:pPr>
      <w:r>
        <w:fldChar w:fldCharType="begin"/>
      </w:r>
      <w:r>
        <w:instrText xml:space="preserve"> HYPERLINK \l "_Toc96519552" </w:instrText>
      </w:r>
      <w:r>
        <w:fldChar w:fldCharType="separate"/>
      </w:r>
      <w:r>
        <w:rPr>
          <w:rStyle w:val="52"/>
          <w:rFonts w:hint="eastAsia" w:cs="Times New Roman"/>
        </w:rPr>
        <w:t>第十章</w:t>
      </w:r>
      <w:r>
        <w:rPr>
          <w:rStyle w:val="52"/>
          <w:rFonts w:cs="Times New Roman"/>
        </w:rPr>
        <w:t xml:space="preserve"> </w:t>
      </w:r>
      <w:r>
        <w:rPr>
          <w:rStyle w:val="52"/>
          <w:rFonts w:hint="eastAsia" w:cs="Times New Roman"/>
        </w:rPr>
        <w:t>解释权</w:t>
      </w:r>
      <w:r>
        <w:tab/>
      </w:r>
      <w:r>
        <w:fldChar w:fldCharType="begin"/>
      </w:r>
      <w:r>
        <w:instrText xml:space="preserve"> PAGEREF _Toc96519552 \h </w:instrText>
      </w:r>
      <w:r>
        <w:fldChar w:fldCharType="separate"/>
      </w:r>
      <w:r>
        <w:t>55</w:t>
      </w:r>
      <w:r>
        <w:fldChar w:fldCharType="end"/>
      </w:r>
      <w:r>
        <w:fldChar w:fldCharType="end"/>
      </w:r>
    </w:p>
    <w:p>
      <w:pPr>
        <w:tabs>
          <w:tab w:val="right" w:leader="dot" w:pos="8820"/>
          <w:tab w:val="right" w:leader="dot" w:pos="9240"/>
          <w:tab w:val="clear" w:pos="426"/>
        </w:tabs>
      </w:pPr>
      <w:r>
        <w:rPr>
          <w:smallCaps/>
          <w:sz w:val="28"/>
        </w:rPr>
        <w:fldChar w:fldCharType="end"/>
      </w:r>
    </w:p>
    <w:p>
      <w:pPr>
        <w:tabs>
          <w:tab w:val="clear" w:pos="426"/>
        </w:tabs>
        <w:sectPr>
          <w:footerReference r:id="rId5" w:type="even"/>
          <w:pgSz w:w="11906" w:h="16838"/>
          <w:pgMar w:top="1134" w:right="1700" w:bottom="1134" w:left="1418" w:header="851" w:footer="992" w:gutter="0"/>
          <w:pgNumType w:start="0"/>
          <w:cols w:space="425" w:num="1"/>
          <w:titlePg/>
          <w:docGrid w:linePitch="462" w:charSpace="0"/>
        </w:sectPr>
      </w:pPr>
    </w:p>
    <w:p>
      <w:pPr>
        <w:pStyle w:val="301"/>
        <w:pageBreakBefore/>
      </w:pPr>
      <w:bookmarkStart w:id="0" w:name="_Toc96519534"/>
      <w:bookmarkStart w:id="1" w:name="_Toc432592808"/>
      <w:r>
        <w:rPr>
          <w:rFonts w:hint="eastAsia"/>
        </w:rPr>
        <w:t>第一册  专用条款</w:t>
      </w:r>
      <w:bookmarkEnd w:id="0"/>
    </w:p>
    <w:p>
      <w:pPr>
        <w:pStyle w:val="309"/>
      </w:pPr>
      <w:bookmarkStart w:id="2" w:name="_Toc96519535"/>
      <w:r>
        <w:rPr>
          <w:rFonts w:hint="eastAsia"/>
        </w:rPr>
        <w:t>特别警示条款</w:t>
      </w:r>
      <w:bookmarkEnd w:id="2"/>
    </w:p>
    <w:p>
      <w:pPr>
        <w:pStyle w:val="305"/>
      </w:pPr>
      <w:r>
        <w:rPr>
          <w:rFonts w:hint="eastAsia"/>
        </w:rPr>
        <w:t>一、《深圳经济特区政府采购条例》</w:t>
      </w:r>
    </w:p>
    <w:p>
      <w:pPr>
        <w:pStyle w:val="305"/>
      </w:pPr>
      <w:r>
        <w:rPr>
          <w:rFonts w:hint="eastAsia"/>
        </w:rPr>
        <w:t>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pStyle w:val="305"/>
      </w:pPr>
      <w:r>
        <w:rPr>
          <w:rFonts w:hint="eastAsia"/>
        </w:rPr>
        <w:t>（一）在采购活动中应当回避而未回避的；</w:t>
      </w:r>
    </w:p>
    <w:p>
      <w:pPr>
        <w:pStyle w:val="305"/>
      </w:pPr>
      <w:r>
        <w:rPr>
          <w:rFonts w:hint="eastAsia"/>
        </w:rPr>
        <w:t>（二）未按本条例规定签订、履行采购合同，造成严重后果的；</w:t>
      </w:r>
    </w:p>
    <w:p>
      <w:pPr>
        <w:pStyle w:val="305"/>
      </w:pPr>
      <w:r>
        <w:rPr>
          <w:rFonts w:hint="eastAsia"/>
        </w:rPr>
        <w:t>（三）隐瞒真实情况，提供虚假资料的；</w:t>
      </w:r>
    </w:p>
    <w:p>
      <w:pPr>
        <w:pStyle w:val="305"/>
      </w:pPr>
      <w:r>
        <w:rPr>
          <w:rFonts w:hint="eastAsia"/>
        </w:rPr>
        <w:t>（四）以非法手段排斥其他供应商参与竞争的；</w:t>
      </w:r>
    </w:p>
    <w:p>
      <w:pPr>
        <w:pStyle w:val="305"/>
      </w:pPr>
      <w:r>
        <w:rPr>
          <w:rFonts w:hint="eastAsia"/>
        </w:rPr>
        <w:t>（五）与其他采购参加人串通谈判应答的；</w:t>
      </w:r>
    </w:p>
    <w:p>
      <w:pPr>
        <w:pStyle w:val="305"/>
      </w:pPr>
      <w:r>
        <w:rPr>
          <w:rFonts w:hint="eastAsia"/>
        </w:rPr>
        <w:t>（六）恶意投诉的；</w:t>
      </w:r>
    </w:p>
    <w:p>
      <w:pPr>
        <w:pStyle w:val="305"/>
      </w:pPr>
      <w:r>
        <w:rPr>
          <w:rFonts w:hint="eastAsia"/>
        </w:rPr>
        <w:t>（七）向采购项目相关人行贿或者提供其他不当利益的；</w:t>
      </w:r>
    </w:p>
    <w:p>
      <w:pPr>
        <w:pStyle w:val="305"/>
      </w:pPr>
      <w:r>
        <w:rPr>
          <w:rFonts w:hint="eastAsia"/>
        </w:rPr>
        <w:t>（八）阻碍、抗拒主管部门监督检查的；</w:t>
      </w:r>
    </w:p>
    <w:p>
      <w:pPr>
        <w:pStyle w:val="305"/>
      </w:pPr>
      <w:r>
        <w:rPr>
          <w:rFonts w:hint="eastAsia"/>
        </w:rPr>
        <w:t>（九）其他违反本条例规定的行为。</w:t>
      </w:r>
    </w:p>
    <w:p>
      <w:pPr>
        <w:pStyle w:val="305"/>
      </w:pPr>
      <w:r>
        <w:rPr>
          <w:rFonts w:hint="eastAsia"/>
        </w:rPr>
        <w:t>二、《深圳经济特区政府采购条例实施细则》</w:t>
      </w:r>
    </w:p>
    <w:p>
      <w:pPr>
        <w:pStyle w:val="305"/>
      </w:pPr>
      <w:r>
        <w:rPr>
          <w:rFonts w:hint="eastAsia"/>
        </w:rPr>
        <w:t>第七十六条 供应商有下列行为之一的，由主管部门记入供应商诚信档案并作出以下处罚：</w:t>
      </w:r>
    </w:p>
    <w:p>
      <w:pPr>
        <w:pStyle w:val="305"/>
      </w:pPr>
      <w:r>
        <w:rPr>
          <w:rFonts w:hint="eastAsia"/>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pStyle w:val="305"/>
      </w:pPr>
      <w:r>
        <w:rPr>
          <w:rFonts w:hint="eastAsia"/>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pStyle w:val="305"/>
      </w:pPr>
      <w:r>
        <w:rPr>
          <w:rFonts w:hint="eastAsia"/>
        </w:rPr>
        <w:t xml:space="preserve">第七十七条 </w:t>
      </w:r>
      <w:r>
        <w:t xml:space="preserve"> </w:t>
      </w:r>
      <w:r>
        <w:rPr>
          <w:rFonts w:hint="eastAsia"/>
        </w:rPr>
        <w:t>供应商有下列行为之一的，属于情节严重，由市场监管部门依法吊销其营业执照，主管部门取消其参与本市政府采购的资格，并作出以下处罚：</w:t>
      </w:r>
    </w:p>
    <w:p>
      <w:pPr>
        <w:pStyle w:val="305"/>
      </w:pPr>
      <w:r>
        <w:rPr>
          <w:rFonts w:hint="eastAsia"/>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pStyle w:val="305"/>
      </w:pPr>
      <w:r>
        <w:rPr>
          <w:rFonts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pStyle w:val="305"/>
      </w:pPr>
      <w:r>
        <w:rPr>
          <w:rFonts w:hint="eastAsia"/>
        </w:rPr>
        <w:t>第七十九条 供应商有下列情形之一的，属于采购条例所称的串通谈判应答行为，按照采购条例第五十七条有关规定处理：</w:t>
      </w:r>
    </w:p>
    <w:p>
      <w:pPr>
        <w:pStyle w:val="305"/>
      </w:pPr>
      <w:r>
        <w:rPr>
          <w:rFonts w:hint="eastAsia"/>
        </w:rPr>
        <w:t>（一）谈判应答供应商之间相互约定给予未成交的供应商利益补偿。</w:t>
      </w:r>
    </w:p>
    <w:p>
      <w:pPr>
        <w:pStyle w:val="305"/>
      </w:pPr>
      <w:r>
        <w:rPr>
          <w:rFonts w:hint="eastAsia"/>
        </w:rPr>
        <w:t>（二）不同谈判应答供应商的法定代表人、主要经营负责人、项目谈判应答授权代表人、项目负责人、主要技术人员为同一人、属同一单位或者在同一单位缴纳社会保险。</w:t>
      </w:r>
    </w:p>
    <w:p>
      <w:pPr>
        <w:pStyle w:val="305"/>
      </w:pPr>
      <w:r>
        <w:rPr>
          <w:rFonts w:hint="eastAsia"/>
        </w:rPr>
        <w:t>（三）不同谈判应答供应商的谈判应答文件由同一单位或者同一人编制，或者由同一人分阶段参与编制的。</w:t>
      </w:r>
    </w:p>
    <w:p>
      <w:pPr>
        <w:pStyle w:val="305"/>
      </w:pPr>
      <w:r>
        <w:rPr>
          <w:rFonts w:hint="eastAsia"/>
        </w:rPr>
        <w:t>（四）不同谈判应答供应商的谈判应答文件或部分谈判应答文件相互混装。</w:t>
      </w:r>
    </w:p>
    <w:p>
      <w:pPr>
        <w:pStyle w:val="305"/>
      </w:pPr>
      <w:r>
        <w:rPr>
          <w:rFonts w:hint="eastAsia"/>
        </w:rPr>
        <w:t>（五）不同谈判应答供应商的谈判应答文件内容存在非正常一致。</w:t>
      </w:r>
    </w:p>
    <w:p>
      <w:pPr>
        <w:pStyle w:val="305"/>
      </w:pPr>
      <w:r>
        <w:rPr>
          <w:rFonts w:hint="eastAsia"/>
        </w:rPr>
        <w:t>（六）由同一单位工作人员为两家以上（含两家）供应商进行同一项谈判应答活动的。</w:t>
      </w:r>
    </w:p>
    <w:p>
      <w:pPr>
        <w:pStyle w:val="305"/>
      </w:pPr>
      <w:r>
        <w:rPr>
          <w:rFonts w:hint="eastAsia"/>
        </w:rPr>
        <w:t>（七）主管部门依照法律、法规认定的其他情形。</w:t>
      </w:r>
    </w:p>
    <w:p>
      <w:pPr>
        <w:pStyle w:val="305"/>
      </w:pPr>
      <w:r>
        <w:rPr>
          <w:rFonts w:hint="eastAsia"/>
        </w:rPr>
        <w:t>第八十一条</w:t>
      </w:r>
      <w:r>
        <w:t xml:space="preserve"> </w:t>
      </w:r>
      <w:r>
        <w:rPr>
          <w:rFonts w:hint="eastAsia"/>
        </w:rPr>
        <w:t>供应商有下列情形之一的，属于隐瞒真实情况，提供虚假资料，按照采购条例第五十七条的有关规定处理：</w:t>
      </w:r>
    </w:p>
    <w:p>
      <w:pPr>
        <w:pStyle w:val="305"/>
      </w:pPr>
      <w:r>
        <w:rPr>
          <w:rFonts w:hint="eastAsia"/>
        </w:rPr>
        <w:t>（一）通过转让或者租借等方式从其他单位获取资格或者资质证书谈判应答的。</w:t>
      </w:r>
    </w:p>
    <w:p>
      <w:pPr>
        <w:pStyle w:val="305"/>
      </w:pPr>
      <w:r>
        <w:rPr>
          <w:rFonts w:hint="eastAsia"/>
        </w:rPr>
        <w:t>（二）由其他单位或者其他单位负责人在谈判应答供应商编制的谈判应答文件上加盖印章或者签字的。</w:t>
      </w:r>
    </w:p>
    <w:p>
      <w:pPr>
        <w:pStyle w:val="305"/>
      </w:pPr>
      <w:r>
        <w:rPr>
          <w:rFonts w:hint="eastAsia"/>
        </w:rPr>
        <w:t>（三）项目负责人或者主要技术人员不是本单位人员的。</w:t>
      </w:r>
    </w:p>
    <w:p>
      <w:pPr>
        <w:pStyle w:val="305"/>
      </w:pPr>
      <w:r>
        <w:rPr>
          <w:rFonts w:hint="eastAsia"/>
        </w:rPr>
        <w:t>（四）谈判应答保证金不是从谈判应答供应商基本账户转出的。</w:t>
      </w:r>
    </w:p>
    <w:p>
      <w:pPr>
        <w:pStyle w:val="305"/>
      </w:pPr>
      <w:r>
        <w:rPr>
          <w:rFonts w:hint="eastAsia"/>
        </w:rPr>
        <w:t>（五）其他隐瞒真实情况、提供虚假资料的行为。</w:t>
      </w:r>
    </w:p>
    <w:p>
      <w:pPr>
        <w:pStyle w:val="305"/>
      </w:pPr>
      <w:r>
        <w:rPr>
          <w:rFonts w:hint="eastAsia"/>
        </w:rPr>
        <w:t>谈判应答供应商不能提供项目负责人或者主要技术人员的劳动合同、社会保险等劳动关系证明材料的，视为存在前款第（三）项规定的情形。</w:t>
      </w:r>
    </w:p>
    <w:p>
      <w:pPr>
        <w:pStyle w:val="305"/>
      </w:pPr>
      <w:r>
        <w:rPr>
          <w:rFonts w:hint="eastAsia"/>
        </w:rPr>
        <w:t>第八十四条</w:t>
      </w:r>
      <w:r>
        <w:t xml:space="preserve"> 供应商有下列行为之一的，谈判机构或采购人不予退还其交纳的谈判应答保证金，情节严重的，并由主管部门记入供应商诚信档案，予以通报。</w:t>
      </w:r>
    </w:p>
    <w:p>
      <w:pPr>
        <w:pStyle w:val="305"/>
      </w:pPr>
      <w:r>
        <w:rPr>
          <w:rFonts w:hint="eastAsia"/>
        </w:rPr>
        <w:t>（一）谈判应答截止后，撤销谈判应答的。</w:t>
      </w:r>
    </w:p>
    <w:p>
      <w:pPr>
        <w:pStyle w:val="305"/>
      </w:pPr>
      <w:r>
        <w:rPr>
          <w:rFonts w:hint="eastAsia"/>
        </w:rPr>
        <w:t>（二）成交后无正当理由未在规定期限内签订合同的。</w:t>
      </w:r>
    </w:p>
    <w:p>
      <w:pPr>
        <w:pStyle w:val="305"/>
      </w:pPr>
      <w:r>
        <w:rPr>
          <w:rFonts w:hint="eastAsia"/>
        </w:rPr>
        <w:t>（三）将成交项目转让给他人或者在谈判应答文件中未说明且未经采购人、采购谈判机构同意，将成交项目分包给他人的。</w:t>
      </w:r>
    </w:p>
    <w:p>
      <w:pPr>
        <w:pStyle w:val="305"/>
      </w:pPr>
      <w:r>
        <w:rPr>
          <w:rFonts w:hint="eastAsia"/>
        </w:rPr>
        <w:t>（四）拒绝履行合同义务的。</w:t>
      </w:r>
    </w:p>
    <w:p>
      <w:pPr>
        <w:pStyle w:val="305"/>
      </w:pPr>
      <w:r>
        <w:rPr>
          <w:rFonts w:hint="eastAsia"/>
        </w:rPr>
        <w:t>不予退还的谈判应答保证金及其利息应当上缴国库。</w:t>
      </w:r>
    </w:p>
    <w:p>
      <w:pPr>
        <w:pStyle w:val="305"/>
      </w:pPr>
      <w:r>
        <w:rPr>
          <w:rFonts w:hint="eastAsia"/>
        </w:rPr>
        <w:t>三、《深圳市财政局关于明确政府采购保证金管理工作的通知》（深财购[2019]42号）</w:t>
      </w:r>
    </w:p>
    <w:p>
      <w:pPr>
        <w:pStyle w:val="305"/>
      </w:pPr>
      <w:r>
        <w:rPr>
          <w:rFonts w:hint="eastAsia"/>
        </w:rPr>
        <w:t>若供应商在政府采购活动中出现《深圳经济特区政府采购条例实施细则》第八十四条规定情形的，采购人或谈判机构可将有关情况报同级财政部门，由财政部门根据实际情况记入供应商诚信档案，予以通报。市、区财政部门将加大对违法违规供应商的惩戒力度，实施联合惩戒。</w:t>
      </w:r>
    </w:p>
    <w:p>
      <w:pPr>
        <w:shd w:val="clear" w:color="auto" w:fill="auto"/>
        <w:tabs>
          <w:tab w:val="clear" w:pos="426"/>
        </w:tabs>
        <w:spacing w:line="240" w:lineRule="auto"/>
        <w:jc w:val="left"/>
        <w:rPr>
          <w:rFonts w:ascii="Cambria" w:hAnsi="Cambria" w:cs="Times New Roman"/>
          <w:b/>
          <w:bCs/>
          <w:kern w:val="28"/>
          <w:sz w:val="28"/>
          <w:szCs w:val="32"/>
        </w:rPr>
      </w:pPr>
      <w:r>
        <w:rPr>
          <w:rFonts w:ascii="Cambria" w:hAnsi="Cambria" w:cs="Times New Roman"/>
          <w:b/>
          <w:bCs/>
          <w:kern w:val="28"/>
          <w:sz w:val="28"/>
          <w:szCs w:val="32"/>
        </w:rPr>
        <w:br w:type="page"/>
      </w:r>
    </w:p>
    <w:p>
      <w:pPr>
        <w:pStyle w:val="309"/>
        <w:pageBreakBefore/>
      </w:pPr>
      <w:bookmarkStart w:id="3" w:name="_Toc96519536"/>
      <w:bookmarkStart w:id="4" w:name="_Hlk41553520"/>
      <w:r>
        <w:rPr>
          <w:rFonts w:hint="eastAsia"/>
        </w:rPr>
        <w:t>关键信息</w:t>
      </w:r>
      <w:bookmarkEnd w:id="1"/>
      <w:bookmarkEnd w:id="3"/>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采购项目编号</w:t>
            </w:r>
          </w:p>
        </w:tc>
        <w:tc>
          <w:tcPr>
            <w:tcW w:w="3773" w:type="pct"/>
            <w:vAlign w:val="center"/>
          </w:tcPr>
          <w:p>
            <w:pPr>
              <w:pStyle w:val="307"/>
            </w:pPr>
            <w:r>
              <w:t>XRZB202204001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项目名称</w:t>
            </w:r>
          </w:p>
        </w:tc>
        <w:tc>
          <w:tcPr>
            <w:tcW w:w="3773" w:type="pct"/>
            <w:vAlign w:val="center"/>
          </w:tcPr>
          <w:p>
            <w:pPr>
              <w:pStyle w:val="307"/>
            </w:pPr>
            <w:r>
              <w:rPr>
                <w:rFonts w:hint="eastAsia"/>
              </w:rPr>
              <w:t>第一届民谣音乐节暨水木年华系列演出活动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t>项目类型</w:t>
            </w:r>
          </w:p>
        </w:tc>
        <w:tc>
          <w:tcPr>
            <w:tcW w:w="3773" w:type="pct"/>
            <w:vAlign w:val="center"/>
          </w:tcPr>
          <w:p>
            <w:pPr>
              <w:tabs>
                <w:tab w:val="clear" w:pos="426"/>
              </w:tabs>
              <w:spacing w:line="240" w:lineRule="auto"/>
              <w:jc w:val="left"/>
              <w:rPr>
                <w:szCs w:val="21"/>
              </w:rPr>
            </w:pPr>
            <w:r>
              <w:rPr>
                <w:rFonts w:hint="eastAsia"/>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227" w:type="pct"/>
            <w:vAlign w:val="center"/>
          </w:tcPr>
          <w:p>
            <w:pPr>
              <w:pStyle w:val="307"/>
            </w:pPr>
            <w:r>
              <w:rPr>
                <w:rFonts w:hint="eastAsia"/>
              </w:rPr>
              <w:t>是否长期服务项目</w:t>
            </w:r>
          </w:p>
        </w:tc>
        <w:tc>
          <w:tcPr>
            <w:tcW w:w="3773" w:type="pct"/>
            <w:vAlign w:val="center"/>
          </w:tcPr>
          <w:p>
            <w:pPr>
              <w:pStyle w:val="307"/>
            </w:pPr>
            <w:r>
              <w:rPr>
                <w:rFonts w:hint="eastAsia"/>
              </w:rPr>
              <w:t>■</w:t>
            </w:r>
            <w:r>
              <w:rPr>
                <w:rFonts w:hint="eastAsia" w:ascii="宋体" w:hAnsi="宋体" w:eastAsia="宋体" w:cs="宋体"/>
                <w:sz w:val="21"/>
                <w:szCs w:val="21"/>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t>采购方式</w:t>
            </w:r>
          </w:p>
        </w:tc>
        <w:tc>
          <w:tcPr>
            <w:tcW w:w="3773" w:type="pct"/>
            <w:vAlign w:val="center"/>
          </w:tcPr>
          <w:p>
            <w:pPr>
              <w:pStyle w:val="307"/>
            </w:pPr>
            <w:r>
              <w:rPr>
                <w:rFonts w:hint="eastAsia"/>
              </w:rPr>
              <w:t>单一来源采</w:t>
            </w:r>
            <w:bookmarkStart w:id="329" w:name="_GoBack"/>
            <w:bookmarkEnd w:id="329"/>
            <w:r>
              <w:rPr>
                <w:rFonts w:hint="eastAsia"/>
              </w:rPr>
              <w:t>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评审方法</w:t>
            </w:r>
          </w:p>
        </w:tc>
        <w:tc>
          <w:tcPr>
            <w:tcW w:w="3773" w:type="pct"/>
            <w:vAlign w:val="center"/>
          </w:tcPr>
          <w:p>
            <w:pPr>
              <w:pStyle w:val="307"/>
            </w:pPr>
            <w:r>
              <w:rPr>
                <w:rFonts w:hint="eastAsia"/>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t>货币类型</w:t>
            </w:r>
          </w:p>
        </w:tc>
        <w:tc>
          <w:tcPr>
            <w:tcW w:w="3773" w:type="pct"/>
            <w:vAlign w:val="center"/>
          </w:tcPr>
          <w:p>
            <w:pPr>
              <w:pStyle w:val="307"/>
            </w:pPr>
            <w: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履约担保金额</w:t>
            </w:r>
          </w:p>
        </w:tc>
        <w:tc>
          <w:tcPr>
            <w:tcW w:w="3773" w:type="pct"/>
            <w:vAlign w:val="center"/>
          </w:tcPr>
          <w:p>
            <w:pPr>
              <w:tabs>
                <w:tab w:val="clear" w:pos="426"/>
              </w:tabs>
              <w:adjustRightInd/>
              <w:snapToGrid/>
              <w:spacing w:line="240" w:lineRule="auto"/>
            </w:pPr>
            <w:r>
              <w:t>■</w:t>
            </w:r>
            <w:r>
              <w:rPr>
                <w:rFonts w:hint="eastAsia"/>
              </w:rPr>
              <w:t>不提交</w:t>
            </w:r>
            <w:r>
              <w:t xml:space="preserve">         </w:t>
            </w:r>
            <w:r>
              <w:rPr>
                <w:rFonts w:hint="eastAsia"/>
              </w:rPr>
              <w:t>□</w:t>
            </w:r>
            <w:r>
              <w:t>提交</w:t>
            </w:r>
          </w:p>
          <w:p>
            <w:pPr>
              <w:tabs>
                <w:tab w:val="clear" w:pos="426"/>
              </w:tabs>
              <w:adjustRightInd/>
              <w:snapToGrid/>
              <w:spacing w:line="240" w:lineRule="auto"/>
            </w:pPr>
            <w:r>
              <w:rPr>
                <w:rFonts w:hint="eastAsia"/>
              </w:rPr>
              <w:t>担保金额：为成交价的</w:t>
            </w:r>
            <w:r>
              <w:rPr>
                <w:u w:val="single"/>
              </w:rPr>
              <w:t>/</w:t>
            </w:r>
            <w:r>
              <w:t>% 或</w:t>
            </w:r>
            <w:r>
              <w:rPr>
                <w:u w:val="single"/>
              </w:rPr>
              <w:t xml:space="preserve"> / </w:t>
            </w:r>
            <w:r>
              <w:t>万元</w:t>
            </w:r>
          </w:p>
          <w:p>
            <w:pPr>
              <w:pStyle w:val="307"/>
            </w:pPr>
            <w:r>
              <w:rPr>
                <w:rFonts w:hint="eastAsia"/>
              </w:rPr>
              <w:t>担保提交时间：收到成交通知书后，并在签订合同前提交。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应答文件份数</w:t>
            </w:r>
          </w:p>
        </w:tc>
        <w:tc>
          <w:tcPr>
            <w:tcW w:w="3773" w:type="pct"/>
            <w:vAlign w:val="center"/>
          </w:tcPr>
          <w:p>
            <w:pPr>
              <w:pStyle w:val="307"/>
            </w:pPr>
            <w:r>
              <w:rPr>
                <w:rFonts w:hint="eastAsia"/>
              </w:rPr>
              <w:t>纸质应答文件一正、四副。</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27" w:type="pct"/>
            <w:vAlign w:val="center"/>
          </w:tcPr>
          <w:p>
            <w:pPr>
              <w:pStyle w:val="307"/>
            </w:pPr>
            <w:r>
              <w:rPr>
                <w:rFonts w:hint="eastAsia"/>
              </w:rPr>
              <w:t>应答文件电子档</w:t>
            </w:r>
          </w:p>
        </w:tc>
        <w:tc>
          <w:tcPr>
            <w:tcW w:w="3773" w:type="pct"/>
            <w:vAlign w:val="center"/>
          </w:tcPr>
          <w:p>
            <w:pPr>
              <w:pStyle w:val="307"/>
            </w:pPr>
            <w:r>
              <w:rPr>
                <w:rFonts w:hint="eastAsia"/>
              </w:rPr>
              <w:t>电子光盘或</w:t>
            </w:r>
            <w:r>
              <w:t>U盘一份（应答文件正本盖章后的彩色扫描件，PDF格式）</w:t>
            </w:r>
            <w:r>
              <w:rPr>
                <w:rFonts w:hint="eastAsia"/>
              </w:rPr>
              <w:t>，一起置于应答文件密封袋中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27" w:type="pct"/>
            <w:vAlign w:val="center"/>
          </w:tcPr>
          <w:p>
            <w:pPr>
              <w:pStyle w:val="307"/>
            </w:pPr>
            <w:r>
              <w:rPr>
                <w:rFonts w:hint="eastAsia"/>
              </w:rPr>
              <w:t>采购文件结构</w:t>
            </w:r>
          </w:p>
        </w:tc>
        <w:tc>
          <w:tcPr>
            <w:tcW w:w="3773" w:type="pct"/>
            <w:vAlign w:val="center"/>
          </w:tcPr>
          <w:p>
            <w:pPr>
              <w:tabs>
                <w:tab w:val="clear" w:pos="426"/>
              </w:tabs>
              <w:adjustRightInd/>
              <w:snapToGrid/>
              <w:spacing w:line="240" w:lineRule="auto"/>
              <w:rPr>
                <w:szCs w:val="21"/>
              </w:rPr>
            </w:pPr>
            <w:r>
              <w:rPr>
                <w:szCs w:val="21"/>
              </w:rPr>
              <w:t>1.本采购文件分为第一册“专用条款”和第二册“通用条款”。</w:t>
            </w:r>
          </w:p>
          <w:p>
            <w:pPr>
              <w:tabs>
                <w:tab w:val="clear" w:pos="426"/>
              </w:tabs>
              <w:adjustRightInd/>
              <w:snapToGrid/>
              <w:spacing w:line="240" w:lineRule="auto"/>
              <w:rPr>
                <w:szCs w:val="21"/>
              </w:rPr>
            </w:pPr>
            <w:r>
              <w:rPr>
                <w:szCs w:val="21"/>
              </w:rPr>
              <w:t>2.“专用条款”是对本次采购项目的具体要求，包含谈判邀请公告、谈判项目需求、合同条款及格式、谈判应答文件格式、附件等内容。</w:t>
            </w:r>
          </w:p>
          <w:p>
            <w:pPr>
              <w:tabs>
                <w:tab w:val="clear" w:pos="426"/>
              </w:tabs>
              <w:adjustRightInd/>
              <w:snapToGrid/>
              <w:spacing w:line="240" w:lineRule="auto"/>
              <w:rPr>
                <w:szCs w:val="21"/>
              </w:rPr>
            </w:pPr>
            <w:r>
              <w:rPr>
                <w:szCs w:val="21"/>
              </w:rPr>
              <w:t>3.“通用条款”是通用于政府采购项目的基础性条款，具有普遍性和通用性。</w:t>
            </w:r>
          </w:p>
          <w:p>
            <w:pPr>
              <w:pStyle w:val="307"/>
            </w:pPr>
            <w:r>
              <w:t>4.当出现“专用条款”和“通用条款”表述不一致或有冲突时，以“专用条款”为准。</w:t>
            </w:r>
          </w:p>
        </w:tc>
      </w:tr>
      <w:bookmarkEnd w:id="4"/>
    </w:tbl>
    <w:p>
      <w:r>
        <w:br w:type="page"/>
      </w:r>
    </w:p>
    <w:p>
      <w:pPr>
        <w:pStyle w:val="321"/>
      </w:pPr>
      <w:r>
        <w:rPr>
          <w:rFonts w:hint="eastAsia"/>
        </w:rPr>
        <w:t>资格、符合性评审条款</w:t>
      </w:r>
    </w:p>
    <w:p>
      <w:pPr>
        <w:jc w:val="center"/>
        <w:rPr>
          <w:b/>
        </w:rPr>
      </w:pPr>
      <w:r>
        <w:rPr>
          <w:rFonts w:hint="eastAsia"/>
          <w:b/>
        </w:rPr>
        <w:t>（凡有下列情形之一的，将导致应答无效）</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78" w:type="pct"/>
            <w:vAlign w:val="center"/>
          </w:tcPr>
          <w:p>
            <w:pPr>
              <w:tabs>
                <w:tab w:val="clear" w:pos="426"/>
              </w:tabs>
              <w:spacing w:line="240" w:lineRule="auto"/>
              <w:jc w:val="center"/>
              <w:rPr>
                <w:b/>
              </w:rPr>
            </w:pPr>
            <w:r>
              <w:rPr>
                <w:rFonts w:hint="eastAsia"/>
                <w:b/>
              </w:rPr>
              <w:t>序号</w:t>
            </w:r>
          </w:p>
        </w:tc>
        <w:tc>
          <w:tcPr>
            <w:tcW w:w="4622" w:type="pct"/>
            <w:vAlign w:val="center"/>
          </w:tcPr>
          <w:p>
            <w:pPr>
              <w:tabs>
                <w:tab w:val="clear" w:pos="426"/>
              </w:tabs>
              <w:spacing w:line="240" w:lineRule="auto"/>
              <w:jc w:val="center"/>
              <w:rPr>
                <w:b/>
              </w:rPr>
            </w:pPr>
            <w:r>
              <w:rPr>
                <w:rFonts w:hint="eastAsia"/>
                <w:b/>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spacing w:line="240" w:lineRule="auto"/>
              <w:jc w:val="center"/>
              <w:rPr>
                <w:b/>
              </w:rPr>
            </w:pPr>
            <w:r>
              <w:rPr>
                <w:rFonts w:hint="eastAsia"/>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378" w:type="pct"/>
            <w:vAlign w:val="center"/>
          </w:tcPr>
          <w:p>
            <w:pPr>
              <w:numPr>
                <w:ilvl w:val="0"/>
                <w:numId w:val="24"/>
              </w:numPr>
              <w:tabs>
                <w:tab w:val="clear" w:pos="426"/>
              </w:tabs>
              <w:spacing w:line="240" w:lineRule="auto"/>
              <w:ind w:left="0" w:firstLine="0"/>
              <w:jc w:val="center"/>
            </w:pPr>
          </w:p>
        </w:tc>
        <w:tc>
          <w:tcPr>
            <w:tcW w:w="4622" w:type="pct"/>
            <w:vAlign w:val="center"/>
          </w:tcPr>
          <w:p>
            <w:pPr>
              <w:pStyle w:val="307"/>
            </w:pPr>
            <w:r>
              <w:rPr>
                <w:rFonts w:hint="eastAsia"/>
              </w:rPr>
              <w:t>供应商不具备谈判资质要求，或未提交相应资质证明材料；（详见谈判公告供应商资格要求，即申请人的资格要求）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000" w:type="pct"/>
            <w:gridSpan w:val="2"/>
            <w:vAlign w:val="center"/>
          </w:tcPr>
          <w:p>
            <w:pPr>
              <w:tabs>
                <w:tab w:val="clear" w:pos="426"/>
              </w:tabs>
              <w:spacing w:line="240" w:lineRule="auto"/>
              <w:jc w:val="center"/>
            </w:pPr>
            <w:r>
              <w:rPr>
                <w:rFonts w:hint="eastAsia"/>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rPr>
                <w:rFonts w:hint="eastAsia"/>
              </w:rPr>
              <w:t>将一个包或一个标段的内容进行应答；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以他人的名义参与谈判、相互串通进行谈判、以行贿手段谋取成交或者以其他弄虚作假方式谈判；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对同一项目提供两套以上的应答方案（采购文件另有规定的除外）；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tabs>
                <w:tab w:val="clear" w:pos="426"/>
              </w:tabs>
              <w:spacing w:line="240" w:lineRule="auto"/>
            </w:pPr>
            <w:r>
              <w:rPr>
                <w:rFonts w:hint="eastAsia"/>
              </w:rPr>
              <w:t>谈判应答总价高于预算限额（谈判应答总价以最终报价为准）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谈判小组认为谈判供应商的报价明显低于其他通过符合性审查谈判供应商的报价，有可能影响产品质量或者不能诚信履约的，应当要求其在谈判现场合理的时间内提供书面说明，必要时提交相关证明材料；在此情况下，谈判供应商仍不能证明其报价合理性的（谈判小组成员对谈判供应商提供的说明材料判断不一致的，按照“少数服从多数”的原则确定谈判小组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供应商的采购文件对所投工程、货物、服务在报价要求、质量、技术、方案等方面没有实质性响应采购文件的要求（是否实质性响应</w:t>
            </w:r>
            <w:r>
              <w:rPr>
                <w:rFonts w:hint="eastAsia"/>
              </w:rPr>
              <w:t>采购文件</w:t>
            </w:r>
            <w:r>
              <w:t>的要求，由谈判小组来做出评判）；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未按</w:t>
            </w:r>
            <w:r>
              <w:rPr>
                <w:rFonts w:hint="eastAsia"/>
              </w:rPr>
              <w:t>采购文件</w:t>
            </w:r>
            <w:r>
              <w:t>所提供的样式填写《应答书》；未按</w:t>
            </w:r>
            <w:r>
              <w:rPr>
                <w:rFonts w:hint="eastAsia"/>
              </w:rPr>
              <w:t>采购文件</w:t>
            </w:r>
            <w:r>
              <w:t>所提供的《政府采购谈判应答及履约承诺函》进行承诺；未按采购文件对应答文件组成的要求提供应答文件；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t>谈判应答报价有缺漏项目</w:t>
            </w:r>
            <w:r>
              <w:rPr>
                <w:rFonts w:hint="eastAsia"/>
              </w:rPr>
              <w:t>，</w:t>
            </w:r>
            <w:r>
              <w:t>或者对</w:t>
            </w:r>
            <w:r>
              <w:rPr>
                <w:rFonts w:hint="eastAsia"/>
              </w:rPr>
              <w:t>采购文件</w:t>
            </w:r>
            <w:r>
              <w:t>规定的项目需求内容或者需求数量进行修改，谈判小组判定谈判响应不满足采购需求；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378" w:type="pct"/>
            <w:vAlign w:val="center"/>
          </w:tcPr>
          <w:p>
            <w:pPr>
              <w:widowControl w:val="0"/>
              <w:numPr>
                <w:ilvl w:val="0"/>
                <w:numId w:val="25"/>
              </w:numPr>
              <w:shd w:val="clear" w:color="auto" w:fill="auto"/>
              <w:tabs>
                <w:tab w:val="clear" w:pos="426"/>
              </w:tabs>
              <w:spacing w:line="240" w:lineRule="auto"/>
              <w:ind w:left="0" w:firstLine="0"/>
              <w:jc w:val="center"/>
            </w:pPr>
          </w:p>
        </w:tc>
        <w:tc>
          <w:tcPr>
            <w:tcW w:w="4622" w:type="pct"/>
            <w:vAlign w:val="center"/>
          </w:tcPr>
          <w:p>
            <w:pPr>
              <w:pStyle w:val="307"/>
            </w:pPr>
            <w:r>
              <w:rPr>
                <w:rFonts w:hint="eastAsia"/>
              </w:rPr>
              <w:t>法律、法规规定的属于应答无效的其他情形。</w:t>
            </w:r>
          </w:p>
        </w:tc>
      </w:tr>
    </w:tbl>
    <w:p/>
    <w:p>
      <w:pPr>
        <w:shd w:val="clear" w:color="auto" w:fill="auto"/>
        <w:tabs>
          <w:tab w:val="clear" w:pos="426"/>
        </w:tabs>
        <w:adjustRightInd/>
        <w:snapToGrid/>
        <w:spacing w:line="240" w:lineRule="auto"/>
        <w:jc w:val="left"/>
      </w:pPr>
      <w:r>
        <w:br w:type="page"/>
      </w:r>
    </w:p>
    <w:p>
      <w:pPr>
        <w:pStyle w:val="321"/>
      </w:pPr>
      <w:bookmarkStart w:id="5" w:name="_Toc435514846"/>
      <w:r>
        <w:t>评</w:t>
      </w:r>
      <w:r>
        <w:rPr>
          <w:rFonts w:hint="eastAsia"/>
        </w:rPr>
        <w:t>审</w:t>
      </w:r>
      <w:r>
        <w:t>信息</w:t>
      </w:r>
    </w:p>
    <w:bookmarkEnd w:id="5"/>
    <w:p>
      <w:pPr>
        <w:tabs>
          <w:tab w:val="clear" w:pos="426"/>
        </w:tabs>
        <w:ind w:firstLine="426" w:firstLineChars="202"/>
      </w:pPr>
      <w:r>
        <w:rPr>
          <w:rFonts w:hint="eastAsia"/>
          <w:b/>
          <w:szCs w:val="21"/>
        </w:rPr>
        <w:t>依照《中华人民共和国政府采购法》及其实施细则等，结合本项目特点，制定本办法。本采购文件所述评审方法与采购文件《通用条款》所述不一致之处，以以下方法为准。</w:t>
      </w:r>
    </w:p>
    <w:p>
      <w:pPr>
        <w:tabs>
          <w:tab w:val="clear" w:pos="426"/>
        </w:tabs>
        <w:ind w:firstLine="424" w:firstLineChars="202"/>
      </w:pPr>
      <w:r>
        <w:rPr>
          <w:rFonts w:hint="eastAsia"/>
        </w:rPr>
        <w:t>一、谈判方法：最低价法。</w:t>
      </w:r>
    </w:p>
    <w:p>
      <w:pPr>
        <w:tabs>
          <w:tab w:val="clear" w:pos="426"/>
        </w:tabs>
        <w:ind w:firstLine="424" w:firstLineChars="202"/>
      </w:pPr>
      <w:r>
        <w:rPr>
          <w:rFonts w:hint="eastAsia"/>
        </w:rPr>
        <w:t>最低价法，是指谈判应答文件满足采购文件全部实质性要求，且谈判应答报价最低的谈判应答人为候选成交人的谈判方法。</w:t>
      </w:r>
    </w:p>
    <w:p>
      <w:pPr>
        <w:tabs>
          <w:tab w:val="clear" w:pos="426"/>
        </w:tabs>
        <w:ind w:firstLine="424" w:firstLineChars="202"/>
      </w:pPr>
      <w:r>
        <w:rPr>
          <w:rFonts w:hint="eastAsia"/>
        </w:rPr>
        <w:t>采用最低评标价法谈判时，除了算术修正和落实政府采购政策需进行的价格扣除外，不能对谈判应答人的谈判应答价格进行任何调整。</w:t>
      </w:r>
    </w:p>
    <w:p>
      <w:pPr>
        <w:tabs>
          <w:tab w:val="clear" w:pos="426"/>
        </w:tabs>
        <w:ind w:firstLine="424" w:firstLineChars="202"/>
      </w:pPr>
      <w:r>
        <w:rPr>
          <w:rFonts w:hint="eastAsia"/>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谈判应答处理或者取消该应商的成交资格，按顺序由排在后面的供应商递补，以此类推。（若评审委员会成员对是否须由谈判应答人作出报价合理性说明，以及书面说明是否采纳等判断不一致的，按照“少数服从多数”的原则确定评审委员会的意见）。</w:t>
      </w:r>
    </w:p>
    <w:p>
      <w:pPr>
        <w:tabs>
          <w:tab w:val="clear" w:pos="426"/>
        </w:tabs>
        <w:ind w:firstLine="424" w:firstLineChars="202"/>
      </w:pPr>
      <w:r>
        <w:rPr>
          <w:rFonts w:hint="eastAsia"/>
        </w:rPr>
        <w:t>二、谈判具体由采购人依法组建的谈判小组负责。</w:t>
      </w:r>
    </w:p>
    <w:p>
      <w:pPr>
        <w:tabs>
          <w:tab w:val="clear" w:pos="426"/>
        </w:tabs>
        <w:ind w:firstLine="424" w:firstLineChars="202"/>
      </w:pPr>
      <w:r>
        <w:rPr>
          <w:rFonts w:hint="eastAsia"/>
        </w:rPr>
        <w:t>1</w:t>
      </w:r>
      <w:r>
        <w:t>.</w:t>
      </w:r>
      <w:r>
        <w:rPr>
          <w:rFonts w:hint="eastAsia"/>
        </w:rPr>
        <w:t>谈判小组由采购人或采购代理机构依法组建，负责谈判活动，向采购人推荐成交候选人排序。</w:t>
      </w:r>
    </w:p>
    <w:p>
      <w:pPr>
        <w:tabs>
          <w:tab w:val="clear" w:pos="426"/>
        </w:tabs>
        <w:ind w:firstLine="424" w:firstLineChars="202"/>
      </w:pPr>
      <w:r>
        <w:rPr>
          <w:rFonts w:hint="eastAsia"/>
        </w:rPr>
        <w:t>2</w:t>
      </w:r>
      <w:r>
        <w:t>.</w:t>
      </w:r>
      <w:r>
        <w:rPr>
          <w:rFonts w:hint="eastAsia"/>
        </w:rPr>
        <w:t>采用单一来源采购的，</w:t>
      </w:r>
      <w:r>
        <w:t>采用最低评标价法的，谈判小组成员由采购单位代表和有关专家共3人以上（含3人）的单数组成，其中专家的人数不得少于成员总数的三分之二。</w:t>
      </w:r>
    </w:p>
    <w:p>
      <w:pPr>
        <w:tabs>
          <w:tab w:val="clear" w:pos="426"/>
        </w:tabs>
        <w:ind w:firstLine="424" w:firstLineChars="202"/>
      </w:pPr>
      <w:r>
        <w:rPr>
          <w:rFonts w:hint="eastAsia"/>
        </w:rPr>
        <w:t>3</w:t>
      </w:r>
      <w:r>
        <w:t>.</w:t>
      </w:r>
      <w:r>
        <w:rPr>
          <w:rFonts w:hint="eastAsia"/>
        </w:rPr>
        <w:t xml:space="preserve"> 谈判小组成员应当客观、公正的履行职责，遵守职业道德，对所提出的评审意见承担个人责任。</w:t>
      </w:r>
    </w:p>
    <w:p>
      <w:pPr>
        <w:tabs>
          <w:tab w:val="clear" w:pos="426"/>
        </w:tabs>
        <w:ind w:firstLine="424" w:firstLineChars="202"/>
      </w:pPr>
      <w:r>
        <w:rPr>
          <w:rFonts w:hint="eastAsia"/>
        </w:rPr>
        <w:t>4</w:t>
      </w:r>
      <w:r>
        <w:t>.</w:t>
      </w:r>
      <w:r>
        <w:rPr>
          <w:rFonts w:hint="eastAsia"/>
        </w:rPr>
        <w:t>谈判小组成员不得与任何供应商或者采购结果有利害关系的人进行私下接触，不得收受供应商、中介人和其他利害关系人的财物或者其他好处。</w:t>
      </w:r>
    </w:p>
    <w:p>
      <w:pPr>
        <w:tabs>
          <w:tab w:val="clear" w:pos="426"/>
        </w:tabs>
        <w:ind w:firstLine="424" w:firstLineChars="202"/>
      </w:pPr>
      <w:r>
        <w:rPr>
          <w:rFonts w:hint="eastAsia"/>
        </w:rPr>
        <w:t>5</w:t>
      </w:r>
      <w:r>
        <w:t>.</w:t>
      </w:r>
      <w:r>
        <w:rPr>
          <w:rFonts w:hint="eastAsia"/>
        </w:rPr>
        <w:t>谈判小组成员和与评审活动有关的工作人员不得透漏对谈判应答文件的评审和比较、成交候选人的推荐情况以及与评审有关的其他情况。</w:t>
      </w:r>
    </w:p>
    <w:p>
      <w:pPr>
        <w:tabs>
          <w:tab w:val="clear" w:pos="426"/>
        </w:tabs>
        <w:ind w:firstLine="424" w:firstLineChars="202"/>
      </w:pPr>
      <w:r>
        <w:rPr>
          <w:rFonts w:hint="eastAsia"/>
        </w:rPr>
        <w:t>本谈判小组将依据单一来源采购文件中规定的原则和程序，经过谈判，推荐一名候选成交供应商，经采购人书面确认后，确定为成交供应商。供应商最后一轮的报价为成交价格。</w:t>
      </w:r>
    </w:p>
    <w:p>
      <w:pPr>
        <w:tabs>
          <w:tab w:val="clear" w:pos="426"/>
        </w:tabs>
        <w:ind w:firstLine="424" w:firstLineChars="202"/>
      </w:pPr>
      <w:r>
        <w:rPr>
          <w:rFonts w:hint="eastAsia"/>
        </w:rPr>
        <w:t>三、谈判具体程序。</w:t>
      </w:r>
    </w:p>
    <w:p>
      <w:pPr>
        <w:tabs>
          <w:tab w:val="clear" w:pos="426"/>
        </w:tabs>
        <w:ind w:firstLine="424" w:firstLineChars="202"/>
      </w:pPr>
      <w:r>
        <w:rPr>
          <w:rFonts w:hint="eastAsia"/>
        </w:rPr>
        <w:t>（一）谈判应答文件的递交</w:t>
      </w:r>
    </w:p>
    <w:p>
      <w:pPr>
        <w:tabs>
          <w:tab w:val="clear" w:pos="426"/>
        </w:tabs>
        <w:ind w:firstLine="424" w:firstLineChars="202"/>
      </w:pPr>
      <w:r>
        <w:rPr>
          <w:rFonts w:hint="eastAsia"/>
        </w:rPr>
        <w:t>1</w:t>
      </w:r>
      <w:r>
        <w:t>.</w:t>
      </w:r>
      <w:r>
        <w:rPr>
          <w:rFonts w:hint="eastAsia"/>
        </w:rPr>
        <w:t>参加谈判的供应商在采购文件规定的时间内送达谈判应答文件并签到。待到谈判应答文件递交截止时间，采购代理机构的工作人员宣布不再接受采购文件。</w:t>
      </w:r>
    </w:p>
    <w:p>
      <w:pPr>
        <w:tabs>
          <w:tab w:val="clear" w:pos="426"/>
        </w:tabs>
        <w:ind w:firstLine="424" w:firstLineChars="202"/>
      </w:pPr>
      <w:r>
        <w:t>2.</w:t>
      </w:r>
      <w:r>
        <w:rPr>
          <w:rFonts w:hint="eastAsia"/>
        </w:rPr>
        <w:t>采购代理机构的工作人员检查确认谈判应答文件的外密封包密封完整性，与谈判应答供应商代表确认无误后，开启谈判应答文件的密封包装，并请供应商交验证明文件（法定代表人证明书、法人授权委托书、被授权的谈判代表身份证复印件与原件）。</w:t>
      </w:r>
    </w:p>
    <w:p>
      <w:pPr>
        <w:tabs>
          <w:tab w:val="clear" w:pos="426"/>
        </w:tabs>
        <w:ind w:firstLine="424" w:firstLineChars="202"/>
      </w:pPr>
      <w:r>
        <w:rPr>
          <w:rFonts w:hint="eastAsia"/>
        </w:rPr>
        <w:t>3</w:t>
      </w:r>
      <w:r>
        <w:t>.</w:t>
      </w:r>
      <w:r>
        <w:rPr>
          <w:rFonts w:hint="eastAsia"/>
        </w:rPr>
        <w:t>现场公布谈判应答文件的初始报价、服务期（或交货期），通知供应商准备进行谈判和二次报价。</w:t>
      </w:r>
    </w:p>
    <w:p>
      <w:pPr>
        <w:tabs>
          <w:tab w:val="clear" w:pos="426"/>
        </w:tabs>
        <w:ind w:firstLine="424" w:firstLineChars="202"/>
      </w:pPr>
      <w:r>
        <w:rPr>
          <w:rFonts w:hint="eastAsia"/>
        </w:rPr>
        <w:t>（二）谈判小组开始谈判</w:t>
      </w:r>
    </w:p>
    <w:p>
      <w:pPr>
        <w:tabs>
          <w:tab w:val="clear" w:pos="426"/>
        </w:tabs>
        <w:ind w:firstLine="424" w:firstLineChars="202"/>
      </w:pPr>
      <w:r>
        <w:t>1.</w:t>
      </w:r>
      <w:r>
        <w:rPr>
          <w:rFonts w:hint="eastAsia"/>
        </w:rPr>
        <w:t>谈判小组成员签到，采购代理机构的主持人宣布谈判规则和谈判纪律。</w:t>
      </w:r>
    </w:p>
    <w:p>
      <w:pPr>
        <w:tabs>
          <w:tab w:val="clear" w:pos="426"/>
        </w:tabs>
        <w:ind w:firstLine="424" w:firstLineChars="202"/>
      </w:pPr>
      <w:r>
        <w:t>2.</w:t>
      </w:r>
      <w:r>
        <w:rPr>
          <w:rFonts w:hint="eastAsia"/>
        </w:rPr>
        <w:t>在谈判前，谈判小组将按照《符合性评审条款》对供应商的谈判应答文件进行初步评审。</w:t>
      </w:r>
      <w:bookmarkStart w:id="6" w:name="_Toc118870901"/>
    </w:p>
    <w:p>
      <w:pPr>
        <w:tabs>
          <w:tab w:val="clear" w:pos="426"/>
        </w:tabs>
        <w:ind w:firstLine="424" w:firstLineChars="202"/>
        <w:rPr>
          <w:szCs w:val="21"/>
        </w:rPr>
      </w:pPr>
      <w:r>
        <w:rPr>
          <w:szCs w:val="21"/>
        </w:rPr>
        <w:t>3.实质性响应评审；</w:t>
      </w:r>
    </w:p>
    <w:p>
      <w:pPr>
        <w:tabs>
          <w:tab w:val="clear" w:pos="426"/>
        </w:tabs>
        <w:ind w:firstLine="420" w:firstLineChars="200"/>
      </w:pPr>
      <w:r>
        <w:t>经初步评审合格的谈判应答文件，谈判小组应当根据单一来源采购文件确定的</w:t>
      </w:r>
      <w:r>
        <w:rPr>
          <w:rFonts w:hint="eastAsia"/>
        </w:rPr>
        <w:t>实质性</w:t>
      </w:r>
      <w:r>
        <w:t>技术要求和商务要求，对供应商的谈判应答文件的技术部分和商务部分有无实质性响应做进一步评审、比较。</w:t>
      </w:r>
    </w:p>
    <w:p>
      <w:pPr>
        <w:tabs>
          <w:tab w:val="clear" w:pos="426"/>
        </w:tabs>
        <w:ind w:firstLine="420" w:firstLineChars="200"/>
      </w:pPr>
      <w:r>
        <w:rPr>
          <w:rFonts w:hint="eastAsia"/>
          <w:szCs w:val="21"/>
        </w:rPr>
        <w:t>（1）谈判应答文件不满足单一来源采购文件规定的任何一项实质性要求的</w:t>
      </w:r>
      <w:r>
        <w:t>，应作无效谈判应答文件处理。</w:t>
      </w:r>
    </w:p>
    <w:p>
      <w:pPr>
        <w:tabs>
          <w:tab w:val="clear" w:pos="426"/>
        </w:tabs>
        <w:ind w:firstLine="420" w:firstLineChars="200"/>
        <w:rPr>
          <w:szCs w:val="21"/>
        </w:rPr>
      </w:pPr>
      <w:r>
        <w:rPr>
          <w:rFonts w:hint="eastAsia"/>
          <w:szCs w:val="21"/>
        </w:rPr>
        <w:t>（2）谈判应答文件对单一来源采购文件规定的非实质性要求的偏离，超出允许偏离的最大范围或最高项数的，该供应商的单一来源采购应答文件作无效文件处理。</w:t>
      </w:r>
    </w:p>
    <w:p>
      <w:pPr>
        <w:tabs>
          <w:tab w:val="clear" w:pos="426"/>
        </w:tabs>
        <w:ind w:firstLine="420" w:firstLineChars="200"/>
        <w:rPr>
          <w:szCs w:val="21"/>
        </w:rPr>
      </w:pPr>
      <w:r>
        <w:rPr>
          <w:rFonts w:hint="eastAsia"/>
          <w:szCs w:val="21"/>
        </w:rPr>
        <w:t>（3）谈判小组根据单一来源采购文件的规定对谈判应答文件的谈判应答价格进行调整，供应商不接受调整方式的，或不接受调整后的价格的。</w:t>
      </w:r>
    </w:p>
    <w:p>
      <w:pPr>
        <w:pStyle w:val="280"/>
        <w:rPr>
          <w:rFonts w:ascii="宋体" w:hAnsi="宋体"/>
          <w:sz w:val="21"/>
          <w:szCs w:val="21"/>
        </w:rPr>
      </w:pPr>
      <w:r>
        <w:rPr>
          <w:rFonts w:hint="eastAsia" w:ascii="宋体" w:hAnsi="宋体"/>
          <w:sz w:val="21"/>
          <w:szCs w:val="21"/>
        </w:rPr>
        <w:t>（4）供应商以他人的名义谈判应答或出现下列串通谈判应答、弄虚作假谈判应答嫌疑的，该供应商的单一来源采购应答文件作无效文件处理：</w:t>
      </w:r>
    </w:p>
    <w:p>
      <w:pPr>
        <w:tabs>
          <w:tab w:val="clear" w:pos="426"/>
        </w:tabs>
        <w:ind w:left="420"/>
        <w:rPr>
          <w:szCs w:val="21"/>
        </w:rPr>
      </w:pPr>
      <w:r>
        <w:rPr>
          <w:rFonts w:hint="eastAsia"/>
          <w:szCs w:val="21"/>
        </w:rPr>
        <w:t>不同供应商的谈判应答文件内容存在非正常一致的；</w:t>
      </w:r>
    </w:p>
    <w:p>
      <w:pPr>
        <w:pStyle w:val="280"/>
        <w:ind w:left="420" w:firstLine="0" w:firstLineChars="0"/>
        <w:rPr>
          <w:rFonts w:ascii="宋体" w:hAnsi="宋体"/>
          <w:sz w:val="21"/>
          <w:szCs w:val="21"/>
        </w:rPr>
      </w:pPr>
      <w:r>
        <w:rPr>
          <w:rFonts w:hint="eastAsia" w:ascii="宋体" w:hAnsi="宋体"/>
          <w:sz w:val="21"/>
          <w:szCs w:val="21"/>
        </w:rPr>
        <w:t>不同供应商的谈判应答文件错漏之处一致的；</w:t>
      </w:r>
    </w:p>
    <w:p>
      <w:pPr>
        <w:pStyle w:val="280"/>
        <w:ind w:left="420" w:firstLine="0" w:firstLineChars="0"/>
        <w:rPr>
          <w:rFonts w:ascii="宋体" w:hAnsi="宋体"/>
          <w:sz w:val="21"/>
          <w:szCs w:val="21"/>
        </w:rPr>
      </w:pPr>
      <w:r>
        <w:rPr>
          <w:rFonts w:hint="eastAsia" w:ascii="宋体" w:hAnsi="宋体"/>
          <w:sz w:val="21"/>
          <w:szCs w:val="21"/>
        </w:rPr>
        <w:t>不同供应商的谈判应答报价或者报价组成异常一致或者呈规律性变化的；</w:t>
      </w:r>
    </w:p>
    <w:p>
      <w:pPr>
        <w:pStyle w:val="280"/>
        <w:ind w:left="420" w:firstLine="0" w:firstLineChars="0"/>
        <w:rPr>
          <w:rFonts w:ascii="宋体" w:hAnsi="宋体"/>
          <w:sz w:val="21"/>
          <w:szCs w:val="21"/>
        </w:rPr>
      </w:pPr>
      <w:r>
        <w:rPr>
          <w:rFonts w:hint="eastAsia" w:ascii="宋体" w:hAnsi="宋体"/>
          <w:sz w:val="21"/>
          <w:szCs w:val="21"/>
        </w:rPr>
        <w:t>不同供应商的谈判应答文件由同一单位或者同一个人编制的；</w:t>
      </w:r>
    </w:p>
    <w:p>
      <w:pPr>
        <w:tabs>
          <w:tab w:val="clear" w:pos="426"/>
        </w:tabs>
        <w:ind w:left="420"/>
        <w:rPr>
          <w:szCs w:val="21"/>
        </w:rPr>
      </w:pPr>
      <w:r>
        <w:rPr>
          <w:rFonts w:hint="eastAsia"/>
          <w:szCs w:val="21"/>
        </w:rPr>
        <w:t>不同供应商的谈判应答文件载明的项目负责人与主要技术人员出现同一人的；</w:t>
      </w:r>
    </w:p>
    <w:p>
      <w:pPr>
        <w:pStyle w:val="280"/>
        <w:ind w:left="420" w:firstLine="0" w:firstLineChars="0"/>
        <w:rPr>
          <w:rFonts w:ascii="宋体" w:hAnsi="宋体"/>
          <w:sz w:val="21"/>
          <w:szCs w:val="21"/>
        </w:rPr>
      </w:pPr>
      <w:r>
        <w:rPr>
          <w:rFonts w:hint="eastAsia" w:ascii="宋体" w:hAnsi="宋体"/>
          <w:sz w:val="21"/>
          <w:szCs w:val="21"/>
        </w:rPr>
        <w:t>不同供应商的谈判应答文件相互混装的；</w:t>
      </w:r>
    </w:p>
    <w:p>
      <w:pPr>
        <w:tabs>
          <w:tab w:val="clear" w:pos="426"/>
        </w:tabs>
        <w:ind w:left="420"/>
        <w:rPr>
          <w:szCs w:val="21"/>
        </w:rPr>
      </w:pPr>
      <w:r>
        <w:rPr>
          <w:rFonts w:hint="eastAsia"/>
          <w:szCs w:val="21"/>
        </w:rPr>
        <w:t>不同供应商委托同一人谈判应答的；</w:t>
      </w:r>
    </w:p>
    <w:p>
      <w:pPr>
        <w:tabs>
          <w:tab w:val="clear" w:pos="426"/>
        </w:tabs>
        <w:ind w:left="420"/>
        <w:rPr>
          <w:szCs w:val="21"/>
        </w:rPr>
      </w:pPr>
      <w:r>
        <w:rPr>
          <w:rFonts w:hint="eastAsia"/>
          <w:szCs w:val="21"/>
        </w:rPr>
        <w:t>不同供应商聘请同一人为其谈判应答提供技术或者经济咨询服务的，但单一来源采购工程本身要求采用专有技术的除外；</w:t>
      </w:r>
    </w:p>
    <w:p>
      <w:pPr>
        <w:pStyle w:val="280"/>
        <w:ind w:left="420" w:firstLine="0" w:firstLineChars="0"/>
        <w:rPr>
          <w:rFonts w:ascii="宋体" w:hAnsi="宋体"/>
          <w:sz w:val="21"/>
          <w:szCs w:val="21"/>
        </w:rPr>
      </w:pPr>
      <w:r>
        <w:rPr>
          <w:rFonts w:hint="eastAsia" w:ascii="宋体" w:hAnsi="宋体"/>
          <w:sz w:val="21"/>
          <w:szCs w:val="21"/>
        </w:rPr>
        <w:t>谈判小组认定的其他串通谈判应答情形。</w:t>
      </w:r>
    </w:p>
    <w:p>
      <w:pPr>
        <w:tabs>
          <w:tab w:val="clear" w:pos="426"/>
        </w:tabs>
        <w:ind w:firstLine="420" w:firstLineChars="200"/>
        <w:rPr>
          <w:szCs w:val="21"/>
        </w:rPr>
      </w:pPr>
      <w:r>
        <w:rPr>
          <w:rFonts w:hint="eastAsia"/>
          <w:szCs w:val="21"/>
        </w:rPr>
        <w:t>（5）原单一来源采购邀请文件有实质性变动的，谈判小组应当通过采购代理机构通知所有参加谈判的供应商。</w:t>
      </w:r>
    </w:p>
    <w:p>
      <w:pPr>
        <w:tabs>
          <w:tab w:val="clear" w:pos="426"/>
        </w:tabs>
        <w:ind w:firstLine="420" w:firstLineChars="200"/>
        <w:rPr>
          <w:szCs w:val="21"/>
        </w:rPr>
      </w:pPr>
      <w:r>
        <w:rPr>
          <w:szCs w:val="21"/>
        </w:rPr>
        <w:t>4.</w:t>
      </w:r>
      <w:r>
        <w:rPr>
          <w:rFonts w:hint="eastAsia"/>
          <w:szCs w:val="21"/>
        </w:rPr>
        <w:t>谈判小组可以用书面形式要求各供应商对其谈判应答文件含义不明确的内容作必要的澄清或者说明，重要问题供应商应以书面形式进行澄清、说明。</w:t>
      </w:r>
    </w:p>
    <w:p>
      <w:pPr>
        <w:tabs>
          <w:tab w:val="clear" w:pos="426"/>
        </w:tabs>
        <w:ind w:firstLine="420" w:firstLineChars="200"/>
        <w:rPr>
          <w:szCs w:val="21"/>
        </w:rPr>
      </w:pPr>
      <w:r>
        <w:rPr>
          <w:rFonts w:hint="eastAsia"/>
          <w:szCs w:val="21"/>
        </w:rPr>
        <w:t>允许供应商在谈判结束之前根据谈判小组提出的内容进行澄清、修改或完善，或对项目方案进行相应的调整。供应商对谈判应答文件进行修改，都应形成文字材料，并经供应商谈判授权人签字认可。</w:t>
      </w:r>
    </w:p>
    <w:p>
      <w:pPr>
        <w:tabs>
          <w:tab w:val="clear" w:pos="426"/>
        </w:tabs>
        <w:ind w:firstLine="420" w:firstLineChars="200"/>
        <w:rPr>
          <w:szCs w:val="21"/>
        </w:rPr>
      </w:pPr>
      <w:r>
        <w:rPr>
          <w:szCs w:val="21"/>
        </w:rPr>
        <w:t>5.</w:t>
      </w:r>
      <w:r>
        <w:rPr>
          <w:rFonts w:hint="eastAsia"/>
          <w:szCs w:val="21"/>
        </w:rPr>
        <w:t>对于通过初步评审和实质性响应评审的谈判应答文件，谈判小组就以下谈判内容跟供应商进行谈判；</w:t>
      </w:r>
    </w:p>
    <w:p>
      <w:pPr>
        <w:tabs>
          <w:tab w:val="clear" w:pos="426"/>
        </w:tabs>
        <w:ind w:firstLine="420" w:firstLineChars="200"/>
        <w:rPr>
          <w:szCs w:val="21"/>
        </w:rPr>
      </w:pPr>
      <w:r>
        <w:rPr>
          <w:rFonts w:hint="eastAsia"/>
          <w:szCs w:val="21"/>
        </w:rPr>
        <w:t>（1）项目方案；</w:t>
      </w:r>
    </w:p>
    <w:p>
      <w:pPr>
        <w:tabs>
          <w:tab w:val="clear" w:pos="426"/>
        </w:tabs>
        <w:ind w:firstLine="420" w:firstLineChars="200"/>
        <w:rPr>
          <w:szCs w:val="21"/>
        </w:rPr>
      </w:pPr>
      <w:r>
        <w:rPr>
          <w:rFonts w:hint="eastAsia"/>
          <w:szCs w:val="21"/>
        </w:rPr>
        <w:t>（2）报价；</w:t>
      </w:r>
    </w:p>
    <w:p>
      <w:pPr>
        <w:tabs>
          <w:tab w:val="clear" w:pos="426"/>
        </w:tabs>
        <w:ind w:firstLine="420" w:firstLineChars="200"/>
        <w:rPr>
          <w:szCs w:val="21"/>
        </w:rPr>
      </w:pPr>
      <w:r>
        <w:rPr>
          <w:rFonts w:hint="eastAsia"/>
          <w:szCs w:val="21"/>
        </w:rPr>
        <w:t>（3）其它相关事项。</w:t>
      </w:r>
    </w:p>
    <w:bookmarkEnd w:id="6"/>
    <w:p>
      <w:pPr>
        <w:tabs>
          <w:tab w:val="clear" w:pos="426"/>
        </w:tabs>
        <w:ind w:firstLine="420" w:firstLineChars="200"/>
        <w:rPr>
          <w:szCs w:val="21"/>
        </w:rPr>
      </w:pPr>
      <w:r>
        <w:rPr>
          <w:rFonts w:hint="eastAsia"/>
          <w:szCs w:val="21"/>
        </w:rPr>
        <w:t>6</w:t>
      </w:r>
      <w:r>
        <w:rPr>
          <w:szCs w:val="21"/>
        </w:rPr>
        <w:t>.</w:t>
      </w:r>
      <w:r>
        <w:rPr>
          <w:rFonts w:hint="eastAsia"/>
          <w:szCs w:val="21"/>
        </w:rPr>
        <w:t>谈判小组参考谈判应答报价的预算金额上限，对供应商的商务谈判应答中谈判应答总价和各项目单价进行讨论。讨论结束后，依据谈判应答截止签到顺序，谈判小组所有成员集中与参与谈判的供应商分别进行谈判。在谈判中，谈判的任何一方不得透露与谈判有关的其它供应商的技术资料、价格或者其他信息。</w:t>
      </w:r>
    </w:p>
    <w:p>
      <w:pPr>
        <w:tabs>
          <w:tab w:val="clear" w:pos="426"/>
        </w:tabs>
        <w:ind w:firstLine="420" w:firstLineChars="200"/>
        <w:rPr>
          <w:szCs w:val="21"/>
        </w:rPr>
      </w:pPr>
      <w:r>
        <w:rPr>
          <w:rFonts w:hint="eastAsia"/>
          <w:szCs w:val="21"/>
        </w:rPr>
        <w:t>7</w:t>
      </w:r>
      <w:r>
        <w:rPr>
          <w:szCs w:val="21"/>
        </w:rPr>
        <w:t>.</w:t>
      </w:r>
      <w:r>
        <w:rPr>
          <w:rFonts w:hint="eastAsia"/>
          <w:szCs w:val="21"/>
        </w:rPr>
        <w:t>参加谈判的供应商有</w:t>
      </w:r>
      <w:r>
        <w:rPr>
          <w:rFonts w:hint="eastAsia"/>
          <w:b/>
          <w:bCs/>
          <w:szCs w:val="21"/>
        </w:rPr>
        <w:t>2次</w:t>
      </w:r>
      <w:r>
        <w:rPr>
          <w:rFonts w:hint="eastAsia"/>
          <w:szCs w:val="21"/>
        </w:rPr>
        <w:t>更改报价的机会，新报价应不高于谈判应答初始报价。</w:t>
      </w:r>
    </w:p>
    <w:p>
      <w:pPr>
        <w:tabs>
          <w:tab w:val="clear" w:pos="426"/>
        </w:tabs>
        <w:ind w:firstLine="420" w:firstLineChars="200"/>
        <w:rPr>
          <w:szCs w:val="21"/>
        </w:rPr>
      </w:pPr>
      <w:r>
        <w:rPr>
          <w:rFonts w:hint="eastAsia"/>
          <w:szCs w:val="21"/>
        </w:rPr>
        <w:t>第一轮谈判后，供应商应在谈判小组规定的时间内提出更改后的二次报价及书面承诺（格式如下）：</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0" w:type="pct"/>
          </w:tcPr>
          <w:p>
            <w:pPr>
              <w:widowControl w:val="0"/>
              <w:shd w:val="clear" w:color="auto" w:fill="auto"/>
              <w:tabs>
                <w:tab w:val="clear" w:pos="426"/>
              </w:tabs>
              <w:adjustRightInd/>
              <w:snapToGrid/>
              <w:spacing w:line="240" w:lineRule="auto"/>
              <w:ind w:firstLine="420" w:firstLineChars="200"/>
              <w:jc w:val="center"/>
              <w:rPr>
                <w:szCs w:val="21"/>
              </w:rPr>
            </w:pPr>
          </w:p>
          <w:p>
            <w:pPr>
              <w:widowControl w:val="0"/>
              <w:shd w:val="clear" w:color="auto" w:fill="auto"/>
              <w:tabs>
                <w:tab w:val="clear" w:pos="426"/>
              </w:tabs>
              <w:adjustRightInd/>
              <w:snapToGrid/>
              <w:spacing w:line="240" w:lineRule="auto"/>
              <w:ind w:firstLine="420" w:firstLineChars="200"/>
              <w:jc w:val="center"/>
              <w:rPr>
                <w:szCs w:val="21"/>
              </w:rPr>
            </w:pPr>
            <w:r>
              <w:rPr>
                <w:rFonts w:hint="eastAsia"/>
                <w:szCs w:val="21"/>
              </w:rPr>
              <w:t>第二次报价及承诺一览表</w:t>
            </w:r>
          </w:p>
          <w:p>
            <w:pPr>
              <w:widowControl w:val="0"/>
              <w:shd w:val="clear" w:color="auto" w:fill="auto"/>
              <w:tabs>
                <w:tab w:val="clear" w:pos="426"/>
              </w:tabs>
              <w:adjustRightInd/>
              <w:snapToGrid/>
              <w:spacing w:line="240" w:lineRule="auto"/>
              <w:ind w:firstLine="420" w:firstLineChars="200"/>
              <w:rPr>
                <w:szCs w:val="21"/>
              </w:rPr>
            </w:pPr>
            <w:r>
              <w:rPr>
                <w:rFonts w:hint="eastAsia"/>
                <w:szCs w:val="21"/>
              </w:rPr>
              <w:t xml:space="preserve">谈判应答单位： </w:t>
            </w:r>
          </w:p>
          <w:tbl>
            <w:tblPr>
              <w:tblStyle w:val="44"/>
              <w:tblW w:w="6784" w:type="dxa"/>
              <w:tblInd w:w="0" w:type="dxa"/>
              <w:tblLayout w:type="autofit"/>
              <w:tblCellMar>
                <w:top w:w="0" w:type="dxa"/>
                <w:left w:w="108" w:type="dxa"/>
                <w:bottom w:w="0" w:type="dxa"/>
                <w:right w:w="108" w:type="dxa"/>
              </w:tblCellMar>
            </w:tblPr>
            <w:tblGrid>
              <w:gridCol w:w="2919"/>
              <w:gridCol w:w="1508"/>
              <w:gridCol w:w="2357"/>
            </w:tblGrid>
            <w:tr>
              <w:tblPrEx>
                <w:tblCellMar>
                  <w:top w:w="0" w:type="dxa"/>
                  <w:left w:w="108" w:type="dxa"/>
                  <w:bottom w:w="0" w:type="dxa"/>
                  <w:right w:w="108" w:type="dxa"/>
                </w:tblCellMar>
              </w:tblPrEx>
              <w:trPr>
                <w:trHeight w:val="850" w:hRule="atLeast"/>
              </w:trPr>
              <w:tc>
                <w:tcPr>
                  <w:tcW w:w="215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项目名称</w:t>
                  </w:r>
                </w:p>
              </w:tc>
              <w:tc>
                <w:tcPr>
                  <w:tcW w:w="111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第二次总报价</w:t>
                  </w:r>
                </w:p>
                <w:p>
                  <w:pPr>
                    <w:widowControl w:val="0"/>
                    <w:shd w:val="clear" w:color="auto" w:fill="auto"/>
                    <w:tabs>
                      <w:tab w:val="clear" w:pos="426"/>
                    </w:tabs>
                    <w:adjustRightInd/>
                    <w:snapToGrid/>
                    <w:spacing w:line="240" w:lineRule="auto"/>
                    <w:jc w:val="center"/>
                    <w:rPr>
                      <w:szCs w:val="21"/>
                    </w:rPr>
                  </w:pPr>
                  <w:r>
                    <w:rPr>
                      <w:rFonts w:hint="eastAsia"/>
                      <w:szCs w:val="21"/>
                    </w:rPr>
                    <w:t>（万元）</w:t>
                  </w:r>
                </w:p>
              </w:tc>
              <w:tc>
                <w:tcPr>
                  <w:tcW w:w="1737"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备注</w:t>
                  </w:r>
                </w:p>
              </w:tc>
            </w:tr>
            <w:tr>
              <w:tblPrEx>
                <w:tblCellMar>
                  <w:top w:w="0" w:type="dxa"/>
                  <w:left w:w="108" w:type="dxa"/>
                  <w:bottom w:w="0" w:type="dxa"/>
                  <w:right w:w="108" w:type="dxa"/>
                </w:tblCellMar>
              </w:tblPrEx>
              <w:trPr>
                <w:trHeight w:val="850" w:hRule="atLeast"/>
              </w:trPr>
              <w:tc>
                <w:tcPr>
                  <w:tcW w:w="215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第一届民谣音乐节暨水木年华系列演出活动</w:t>
                  </w:r>
                </w:p>
              </w:tc>
              <w:tc>
                <w:tcPr>
                  <w:tcW w:w="111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p>
              </w:tc>
              <w:tc>
                <w:tcPr>
                  <w:tcW w:w="1737"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p>
              </w:tc>
            </w:tr>
          </w:tbl>
          <w:p>
            <w:pPr>
              <w:widowControl w:val="0"/>
              <w:shd w:val="clear" w:color="auto" w:fill="auto"/>
              <w:tabs>
                <w:tab w:val="clear" w:pos="426"/>
              </w:tabs>
              <w:adjustRightInd/>
              <w:snapToGrid/>
              <w:spacing w:line="240" w:lineRule="auto"/>
              <w:ind w:firstLine="420" w:firstLineChars="200"/>
              <w:rPr>
                <w:szCs w:val="21"/>
              </w:rPr>
            </w:pPr>
          </w:p>
          <w:p>
            <w:pPr>
              <w:widowControl w:val="0"/>
              <w:shd w:val="clear" w:color="auto" w:fill="auto"/>
              <w:tabs>
                <w:tab w:val="clear" w:pos="426"/>
              </w:tabs>
              <w:adjustRightInd/>
              <w:snapToGrid/>
              <w:spacing w:line="240" w:lineRule="auto"/>
              <w:ind w:firstLine="420" w:firstLineChars="200"/>
              <w:rPr>
                <w:szCs w:val="21"/>
              </w:rPr>
            </w:pPr>
            <w:r>
              <w:rPr>
                <w:rFonts w:hint="eastAsia"/>
                <w:szCs w:val="21"/>
              </w:rPr>
              <w:t>有关承诺：</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3824" w:leftChars="1821"/>
              <w:jc w:val="left"/>
              <w:rPr>
                <w:szCs w:val="21"/>
              </w:rPr>
            </w:pPr>
            <w:r>
              <w:rPr>
                <w:rFonts w:hint="eastAsia"/>
                <w:szCs w:val="21"/>
              </w:rPr>
              <w:t>供应商授权代表签字：</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3824" w:leftChars="1821"/>
              <w:jc w:val="left"/>
              <w:rPr>
                <w:szCs w:val="21"/>
              </w:rPr>
            </w:pPr>
            <w:r>
              <w:rPr>
                <w:rFonts w:hint="eastAsia"/>
                <w:szCs w:val="21"/>
              </w:rPr>
              <w:t>日            期：</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424" w:leftChars="202"/>
              <w:jc w:val="left"/>
              <w:rPr>
                <w:szCs w:val="21"/>
              </w:rPr>
            </w:pPr>
            <w:r>
              <w:rPr>
                <w:rFonts w:hint="eastAsia"/>
                <w:szCs w:val="21"/>
              </w:rPr>
              <w:t>备注：第二次报价应低不高于谈判应答初始报价，各项目单价按所报总价等比例下浮。</w:t>
            </w:r>
          </w:p>
        </w:tc>
      </w:tr>
    </w:tbl>
    <w:p>
      <w:pPr>
        <w:tabs>
          <w:tab w:val="clear" w:pos="426"/>
        </w:tabs>
        <w:ind w:firstLine="420" w:firstLineChars="200"/>
        <w:rPr>
          <w:szCs w:val="21"/>
        </w:rPr>
      </w:pPr>
    </w:p>
    <w:p>
      <w:pPr>
        <w:tabs>
          <w:tab w:val="clear" w:pos="426"/>
        </w:tabs>
        <w:ind w:firstLine="420" w:firstLineChars="200"/>
        <w:rPr>
          <w:szCs w:val="21"/>
        </w:rPr>
      </w:pPr>
      <w:r>
        <w:rPr>
          <w:rFonts w:hint="eastAsia"/>
          <w:szCs w:val="21"/>
        </w:rPr>
        <w:t>第二轮谈判后，供应商应在谈判小组规定的时间内提出更改后的最终报价及书面承诺（格式如下）：</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000" w:type="pct"/>
          </w:tcPr>
          <w:p>
            <w:pPr>
              <w:widowControl w:val="0"/>
              <w:shd w:val="clear" w:color="auto" w:fill="auto"/>
              <w:tabs>
                <w:tab w:val="clear" w:pos="426"/>
              </w:tabs>
              <w:adjustRightInd/>
              <w:snapToGrid/>
              <w:spacing w:line="240" w:lineRule="auto"/>
              <w:ind w:firstLine="420" w:firstLineChars="200"/>
              <w:jc w:val="center"/>
              <w:rPr>
                <w:szCs w:val="21"/>
              </w:rPr>
            </w:pPr>
          </w:p>
          <w:p>
            <w:pPr>
              <w:widowControl w:val="0"/>
              <w:shd w:val="clear" w:color="auto" w:fill="auto"/>
              <w:tabs>
                <w:tab w:val="clear" w:pos="426"/>
              </w:tabs>
              <w:adjustRightInd/>
              <w:snapToGrid/>
              <w:spacing w:line="240" w:lineRule="auto"/>
              <w:ind w:firstLine="420" w:firstLineChars="200"/>
              <w:jc w:val="center"/>
              <w:rPr>
                <w:szCs w:val="21"/>
              </w:rPr>
            </w:pPr>
            <w:r>
              <w:rPr>
                <w:rFonts w:hint="eastAsia"/>
                <w:szCs w:val="21"/>
              </w:rPr>
              <w:t>最终报价及承诺一览表</w:t>
            </w:r>
          </w:p>
          <w:p>
            <w:pPr>
              <w:widowControl w:val="0"/>
              <w:shd w:val="clear" w:color="auto" w:fill="auto"/>
              <w:tabs>
                <w:tab w:val="clear" w:pos="426"/>
              </w:tabs>
              <w:adjustRightInd/>
              <w:snapToGrid/>
              <w:spacing w:line="240" w:lineRule="auto"/>
              <w:ind w:firstLine="420" w:firstLineChars="200"/>
              <w:rPr>
                <w:szCs w:val="21"/>
              </w:rPr>
            </w:pPr>
            <w:r>
              <w:rPr>
                <w:rFonts w:hint="eastAsia"/>
                <w:szCs w:val="21"/>
              </w:rPr>
              <w:t xml:space="preserve">谈判应答单位： </w:t>
            </w:r>
          </w:p>
          <w:tbl>
            <w:tblPr>
              <w:tblStyle w:val="44"/>
              <w:tblW w:w="6783" w:type="dxa"/>
              <w:tblInd w:w="0" w:type="dxa"/>
              <w:tblLayout w:type="autofit"/>
              <w:tblCellMar>
                <w:top w:w="0" w:type="dxa"/>
                <w:left w:w="108" w:type="dxa"/>
                <w:bottom w:w="0" w:type="dxa"/>
                <w:right w:w="108" w:type="dxa"/>
              </w:tblCellMar>
            </w:tblPr>
            <w:tblGrid>
              <w:gridCol w:w="2918"/>
              <w:gridCol w:w="1509"/>
              <w:gridCol w:w="2356"/>
            </w:tblGrid>
            <w:tr>
              <w:tblPrEx>
                <w:tblCellMar>
                  <w:top w:w="0" w:type="dxa"/>
                  <w:left w:w="108" w:type="dxa"/>
                  <w:bottom w:w="0" w:type="dxa"/>
                  <w:right w:w="108" w:type="dxa"/>
                </w:tblCellMar>
              </w:tblPrEx>
              <w:trPr>
                <w:trHeight w:val="850" w:hRule="atLeast"/>
              </w:trPr>
              <w:tc>
                <w:tcPr>
                  <w:tcW w:w="215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项目名称</w:t>
                  </w:r>
                </w:p>
              </w:tc>
              <w:tc>
                <w:tcPr>
                  <w:tcW w:w="1112"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最终总报价</w:t>
                  </w:r>
                </w:p>
                <w:p>
                  <w:pPr>
                    <w:widowControl w:val="0"/>
                    <w:shd w:val="clear" w:color="auto" w:fill="auto"/>
                    <w:tabs>
                      <w:tab w:val="clear" w:pos="426"/>
                    </w:tabs>
                    <w:adjustRightInd/>
                    <w:snapToGrid/>
                    <w:spacing w:line="240" w:lineRule="auto"/>
                    <w:jc w:val="center"/>
                    <w:rPr>
                      <w:szCs w:val="21"/>
                    </w:rPr>
                  </w:pPr>
                  <w:r>
                    <w:rPr>
                      <w:rFonts w:hint="eastAsia"/>
                      <w:szCs w:val="21"/>
                    </w:rPr>
                    <w:t>（万元）</w:t>
                  </w:r>
                </w:p>
              </w:tc>
              <w:tc>
                <w:tcPr>
                  <w:tcW w:w="1737"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备注</w:t>
                  </w:r>
                </w:p>
              </w:tc>
            </w:tr>
            <w:tr>
              <w:tblPrEx>
                <w:tblCellMar>
                  <w:top w:w="0" w:type="dxa"/>
                  <w:left w:w="108" w:type="dxa"/>
                  <w:bottom w:w="0" w:type="dxa"/>
                  <w:right w:w="108" w:type="dxa"/>
                </w:tblCellMar>
              </w:tblPrEx>
              <w:trPr>
                <w:trHeight w:val="850" w:hRule="atLeast"/>
              </w:trPr>
              <w:tc>
                <w:tcPr>
                  <w:tcW w:w="2151"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r>
                    <w:rPr>
                      <w:rFonts w:hint="eastAsia"/>
                      <w:szCs w:val="21"/>
                    </w:rPr>
                    <w:t>第一届民谣音乐节暨水木年华系列演出活动</w:t>
                  </w:r>
                </w:p>
              </w:tc>
              <w:tc>
                <w:tcPr>
                  <w:tcW w:w="1112"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p>
              </w:tc>
              <w:tc>
                <w:tcPr>
                  <w:tcW w:w="1737" w:type="pct"/>
                  <w:tcBorders>
                    <w:top w:val="single" w:color="auto" w:sz="6" w:space="0"/>
                    <w:left w:val="single" w:color="auto" w:sz="6" w:space="0"/>
                    <w:bottom w:val="single" w:color="auto" w:sz="6" w:space="0"/>
                    <w:right w:val="single" w:color="auto" w:sz="6" w:space="0"/>
                  </w:tcBorders>
                  <w:vAlign w:val="center"/>
                </w:tcPr>
                <w:p>
                  <w:pPr>
                    <w:widowControl w:val="0"/>
                    <w:shd w:val="clear" w:color="auto" w:fill="auto"/>
                    <w:tabs>
                      <w:tab w:val="clear" w:pos="426"/>
                    </w:tabs>
                    <w:adjustRightInd/>
                    <w:snapToGrid/>
                    <w:spacing w:line="240" w:lineRule="auto"/>
                    <w:jc w:val="center"/>
                    <w:rPr>
                      <w:szCs w:val="21"/>
                    </w:rPr>
                  </w:pPr>
                </w:p>
              </w:tc>
            </w:tr>
          </w:tbl>
          <w:p>
            <w:pPr>
              <w:widowControl w:val="0"/>
              <w:shd w:val="clear" w:color="auto" w:fill="auto"/>
              <w:tabs>
                <w:tab w:val="clear" w:pos="426"/>
              </w:tabs>
              <w:adjustRightInd/>
              <w:snapToGrid/>
              <w:spacing w:line="240" w:lineRule="auto"/>
              <w:ind w:firstLine="420" w:firstLineChars="200"/>
              <w:rPr>
                <w:szCs w:val="21"/>
              </w:rPr>
            </w:pPr>
          </w:p>
          <w:p>
            <w:pPr>
              <w:widowControl w:val="0"/>
              <w:shd w:val="clear" w:color="auto" w:fill="auto"/>
              <w:tabs>
                <w:tab w:val="clear" w:pos="426"/>
              </w:tabs>
              <w:adjustRightInd/>
              <w:snapToGrid/>
              <w:spacing w:line="240" w:lineRule="auto"/>
              <w:ind w:firstLine="420" w:firstLineChars="200"/>
              <w:rPr>
                <w:szCs w:val="21"/>
              </w:rPr>
            </w:pPr>
            <w:r>
              <w:rPr>
                <w:rFonts w:hint="eastAsia"/>
                <w:szCs w:val="21"/>
              </w:rPr>
              <w:t>有关承诺：</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3824" w:leftChars="1821"/>
              <w:jc w:val="left"/>
              <w:rPr>
                <w:szCs w:val="21"/>
              </w:rPr>
            </w:pPr>
            <w:r>
              <w:rPr>
                <w:rFonts w:hint="eastAsia"/>
                <w:szCs w:val="21"/>
              </w:rPr>
              <w:t>供应商授权代表签字：</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3824" w:leftChars="1821"/>
              <w:jc w:val="left"/>
              <w:rPr>
                <w:szCs w:val="21"/>
              </w:rPr>
            </w:pPr>
            <w:r>
              <w:rPr>
                <w:rFonts w:hint="eastAsia"/>
                <w:szCs w:val="21"/>
              </w:rPr>
              <w:t>日            期：</w:t>
            </w:r>
          </w:p>
          <w:p>
            <w:pPr>
              <w:widowControl w:val="0"/>
              <w:shd w:val="clear" w:color="auto" w:fill="auto"/>
              <w:tabs>
                <w:tab w:val="clear" w:pos="426"/>
              </w:tabs>
              <w:adjustRightInd/>
              <w:snapToGrid/>
              <w:spacing w:line="240" w:lineRule="auto"/>
              <w:ind w:left="3824" w:leftChars="1821"/>
              <w:jc w:val="left"/>
              <w:rPr>
                <w:szCs w:val="21"/>
              </w:rPr>
            </w:pPr>
          </w:p>
          <w:p>
            <w:pPr>
              <w:widowControl w:val="0"/>
              <w:shd w:val="clear" w:color="auto" w:fill="auto"/>
              <w:tabs>
                <w:tab w:val="clear" w:pos="426"/>
              </w:tabs>
              <w:adjustRightInd/>
              <w:snapToGrid/>
              <w:spacing w:line="240" w:lineRule="auto"/>
              <w:ind w:left="424" w:leftChars="202"/>
              <w:jc w:val="left"/>
              <w:rPr>
                <w:szCs w:val="21"/>
              </w:rPr>
            </w:pPr>
            <w:r>
              <w:rPr>
                <w:rFonts w:hint="eastAsia"/>
                <w:szCs w:val="21"/>
              </w:rPr>
              <w:t>备注：最终报价应低不高于第二次报价，各项目单价按所报总价等比例下浮。</w:t>
            </w:r>
          </w:p>
        </w:tc>
      </w:tr>
    </w:tbl>
    <w:p>
      <w:pPr>
        <w:tabs>
          <w:tab w:val="clear" w:pos="426"/>
        </w:tabs>
        <w:ind w:firstLine="420" w:firstLineChars="200"/>
        <w:rPr>
          <w:szCs w:val="21"/>
        </w:rPr>
      </w:pPr>
    </w:p>
    <w:p>
      <w:pPr>
        <w:tabs>
          <w:tab w:val="clear" w:pos="426"/>
        </w:tabs>
        <w:ind w:firstLine="420" w:firstLineChars="200"/>
        <w:rPr>
          <w:szCs w:val="21"/>
        </w:rPr>
      </w:pPr>
      <w:r>
        <w:rPr>
          <w:rFonts w:hint="eastAsia"/>
          <w:szCs w:val="21"/>
        </w:rPr>
        <w:t>各家供应商均进行最终谈判应答报价及有关承诺确认后，须经由供应商的法定代表人或授权委托人签字确认，且须谈判小组认可。</w:t>
      </w:r>
    </w:p>
    <w:p>
      <w:pPr>
        <w:tabs>
          <w:tab w:val="clear" w:pos="426"/>
        </w:tabs>
        <w:ind w:firstLine="420" w:firstLineChars="200"/>
        <w:rPr>
          <w:szCs w:val="21"/>
        </w:rPr>
      </w:pPr>
      <w:r>
        <w:rPr>
          <w:rFonts w:hint="eastAsia"/>
          <w:szCs w:val="21"/>
        </w:rPr>
        <w:t>8</w:t>
      </w:r>
      <w:r>
        <w:rPr>
          <w:szCs w:val="21"/>
        </w:rPr>
        <w:t>.</w:t>
      </w:r>
      <w:r>
        <w:rPr>
          <w:rFonts w:hint="eastAsia"/>
          <w:szCs w:val="21"/>
        </w:rPr>
        <w:t>谈判小组将根据本办法中的谈判方法确定成交人推荐资格。</w:t>
      </w:r>
    </w:p>
    <w:p>
      <w:pPr>
        <w:tabs>
          <w:tab w:val="clear" w:pos="426"/>
        </w:tabs>
        <w:ind w:firstLine="420" w:firstLineChars="200"/>
        <w:rPr>
          <w:szCs w:val="21"/>
        </w:rPr>
      </w:pPr>
      <w:r>
        <w:rPr>
          <w:rFonts w:hint="eastAsia"/>
          <w:szCs w:val="21"/>
        </w:rPr>
        <w:t>9</w:t>
      </w:r>
      <w:r>
        <w:rPr>
          <w:szCs w:val="21"/>
        </w:rPr>
        <w:t>.</w:t>
      </w:r>
      <w:r>
        <w:rPr>
          <w:rFonts w:hint="eastAsia"/>
          <w:szCs w:val="21"/>
        </w:rPr>
        <w:t>谈判结束后，谈判小组根据供应商提供的谈判应答文件、谈判过程中产生的相关资料，对供应商谈判应答文件进行评估与比较，形成书面评审报告。</w:t>
      </w:r>
    </w:p>
    <w:p>
      <w:pPr>
        <w:tabs>
          <w:tab w:val="clear" w:pos="426"/>
        </w:tabs>
        <w:ind w:firstLine="420" w:firstLineChars="200"/>
        <w:rPr>
          <w:szCs w:val="21"/>
        </w:rPr>
      </w:pPr>
      <w:r>
        <w:rPr>
          <w:szCs w:val="21"/>
        </w:rPr>
        <w:t>评审报告应当如实记载以下内容：</w:t>
      </w:r>
    </w:p>
    <w:p>
      <w:pPr>
        <w:tabs>
          <w:tab w:val="clear" w:pos="426"/>
        </w:tabs>
        <w:ind w:firstLine="420" w:firstLineChars="200"/>
        <w:rPr>
          <w:szCs w:val="21"/>
        </w:rPr>
      </w:pPr>
      <w:r>
        <w:rPr>
          <w:rFonts w:hint="eastAsia"/>
          <w:szCs w:val="21"/>
        </w:rPr>
        <w:t>（1）</w:t>
      </w:r>
      <w:r>
        <w:rPr>
          <w:szCs w:val="21"/>
        </w:rPr>
        <w:t>采购项目基本情况；</w:t>
      </w:r>
    </w:p>
    <w:p>
      <w:pPr>
        <w:tabs>
          <w:tab w:val="clear" w:pos="426"/>
        </w:tabs>
        <w:ind w:firstLine="420" w:firstLineChars="200"/>
        <w:rPr>
          <w:szCs w:val="21"/>
        </w:rPr>
      </w:pPr>
      <w:r>
        <w:rPr>
          <w:rFonts w:hint="eastAsia"/>
          <w:szCs w:val="21"/>
        </w:rPr>
        <w:t>（2）</w:t>
      </w:r>
      <w:r>
        <w:rPr>
          <w:szCs w:val="21"/>
        </w:rPr>
        <w:t>谈判小组成员名单；</w:t>
      </w:r>
    </w:p>
    <w:p>
      <w:pPr>
        <w:tabs>
          <w:tab w:val="clear" w:pos="426"/>
        </w:tabs>
        <w:ind w:firstLine="420" w:firstLineChars="200"/>
        <w:rPr>
          <w:szCs w:val="21"/>
        </w:rPr>
      </w:pPr>
      <w:r>
        <w:rPr>
          <w:rFonts w:hint="eastAsia"/>
          <w:szCs w:val="21"/>
        </w:rPr>
        <w:t>（3）</w:t>
      </w:r>
      <w:r>
        <w:rPr>
          <w:szCs w:val="21"/>
        </w:rPr>
        <w:t>实质性响应表情况及无效谈判应答文件说明；</w:t>
      </w:r>
    </w:p>
    <w:p>
      <w:pPr>
        <w:tabs>
          <w:tab w:val="clear" w:pos="426"/>
        </w:tabs>
        <w:ind w:firstLine="420" w:firstLineChars="200"/>
        <w:rPr>
          <w:szCs w:val="21"/>
        </w:rPr>
      </w:pPr>
      <w:r>
        <w:rPr>
          <w:rFonts w:hint="eastAsia"/>
          <w:szCs w:val="21"/>
        </w:rPr>
        <w:t>（4）</w:t>
      </w:r>
      <w:r>
        <w:rPr>
          <w:szCs w:val="21"/>
        </w:rPr>
        <w:t>经评审的供应商排序；</w:t>
      </w:r>
    </w:p>
    <w:p>
      <w:pPr>
        <w:tabs>
          <w:tab w:val="clear" w:pos="426"/>
        </w:tabs>
        <w:ind w:firstLine="420" w:firstLineChars="200"/>
        <w:rPr>
          <w:szCs w:val="21"/>
        </w:rPr>
      </w:pPr>
      <w:r>
        <w:rPr>
          <w:rFonts w:hint="eastAsia"/>
          <w:szCs w:val="21"/>
        </w:rPr>
        <w:t>（5）</w:t>
      </w:r>
      <w:r>
        <w:rPr>
          <w:szCs w:val="21"/>
        </w:rPr>
        <w:t>推荐排序的成交候选人名单与签订合同前要处理的事宜；</w:t>
      </w:r>
    </w:p>
    <w:p>
      <w:pPr>
        <w:tabs>
          <w:tab w:val="clear" w:pos="426"/>
        </w:tabs>
        <w:ind w:firstLine="420" w:firstLineChars="200"/>
        <w:rPr>
          <w:szCs w:val="21"/>
        </w:rPr>
      </w:pPr>
      <w:r>
        <w:rPr>
          <w:rFonts w:hint="eastAsia"/>
          <w:szCs w:val="21"/>
        </w:rPr>
        <w:t>（6）</w:t>
      </w:r>
      <w:r>
        <w:rPr>
          <w:szCs w:val="21"/>
        </w:rPr>
        <w:t>澄清、说明、补正事项纪要。</w:t>
      </w:r>
    </w:p>
    <w:p>
      <w:pPr>
        <w:tabs>
          <w:tab w:val="clear" w:pos="426"/>
        </w:tabs>
        <w:ind w:firstLine="420" w:firstLineChars="200"/>
        <w:rPr>
          <w:szCs w:val="21"/>
        </w:rPr>
      </w:pPr>
      <w:r>
        <w:rPr>
          <w:szCs w:val="21"/>
        </w:rPr>
        <w:t>评审报告由谈判小组全体成员签字。对评审结论持有异议的</w:t>
      </w:r>
      <w:r>
        <w:rPr>
          <w:rFonts w:hint="eastAsia"/>
          <w:szCs w:val="21"/>
        </w:rPr>
        <w:t>谈判</w:t>
      </w:r>
      <w:r>
        <w:rPr>
          <w:szCs w:val="21"/>
        </w:rPr>
        <w:t>小组成员可以书面方式阐述其不同意见和理由。</w:t>
      </w:r>
    </w:p>
    <w:p>
      <w:pPr>
        <w:tabs>
          <w:tab w:val="clear" w:pos="426"/>
        </w:tabs>
        <w:ind w:firstLine="420" w:firstLineChars="200"/>
        <w:rPr>
          <w:szCs w:val="21"/>
        </w:rPr>
      </w:pPr>
      <w:r>
        <w:rPr>
          <w:szCs w:val="21"/>
        </w:rPr>
        <w:t>谈判小组成员拒绝在评审报告上签字且不陈述其不同意见和理由的，视为同意评审结论。谈判小组应当对此做出书面说明并记录在案。</w:t>
      </w:r>
    </w:p>
    <w:p>
      <w:pPr>
        <w:tabs>
          <w:tab w:val="clear" w:pos="426"/>
        </w:tabs>
        <w:ind w:firstLine="420" w:firstLineChars="200"/>
        <w:rPr>
          <w:szCs w:val="21"/>
        </w:rPr>
      </w:pPr>
      <w:r>
        <w:rPr>
          <w:szCs w:val="21"/>
        </w:rPr>
        <w:t>谈判小组完成书面评审报告后</w:t>
      </w:r>
      <w:r>
        <w:rPr>
          <w:rFonts w:hint="eastAsia"/>
          <w:szCs w:val="21"/>
        </w:rPr>
        <w:t>，</w:t>
      </w:r>
      <w:r>
        <w:rPr>
          <w:szCs w:val="21"/>
        </w:rPr>
        <w:t>主持人宣布谈判结束。谈判现场所有资料不得带出现场。由采购按规定分类整理，分别送交和存档。</w:t>
      </w:r>
    </w:p>
    <w:p>
      <w:pPr>
        <w:tabs>
          <w:tab w:val="clear" w:pos="426"/>
        </w:tabs>
        <w:ind w:firstLine="420" w:firstLineChars="200"/>
        <w:rPr>
          <w:szCs w:val="21"/>
        </w:rPr>
      </w:pPr>
      <w:r>
        <w:rPr>
          <w:rFonts w:hint="eastAsia"/>
          <w:szCs w:val="21"/>
        </w:rPr>
        <w:t>1</w:t>
      </w:r>
      <w:r>
        <w:rPr>
          <w:szCs w:val="21"/>
        </w:rPr>
        <w:t>0.谈判小组按照采购文件规定的原则和程序推荐的候选成交人，需要经采购人考察无误后</w:t>
      </w:r>
      <w:r>
        <w:rPr>
          <w:rFonts w:hint="eastAsia"/>
          <w:szCs w:val="21"/>
        </w:rPr>
        <w:t>，</w:t>
      </w:r>
      <w:r>
        <w:rPr>
          <w:szCs w:val="21"/>
        </w:rPr>
        <w:t>依法确定成交供应商</w:t>
      </w:r>
      <w:r>
        <w:rPr>
          <w:rFonts w:hint="eastAsia"/>
          <w:szCs w:val="21"/>
        </w:rPr>
        <w:t>，</w:t>
      </w:r>
      <w:r>
        <w:rPr>
          <w:szCs w:val="21"/>
        </w:rPr>
        <w:t>如果在考察过程中发现供应商所提供的资料、人员、业绩等与采购文件要求及谈判应答文件内容不符的，将取消其可能成交的资格。</w:t>
      </w:r>
    </w:p>
    <w:p>
      <w:pPr>
        <w:tabs>
          <w:tab w:val="clear" w:pos="426"/>
        </w:tabs>
        <w:ind w:firstLine="420" w:firstLineChars="200"/>
        <w:rPr>
          <w:szCs w:val="21"/>
        </w:rPr>
      </w:pPr>
      <w:r>
        <w:rPr>
          <w:rFonts w:hint="eastAsia"/>
          <w:szCs w:val="21"/>
        </w:rPr>
        <w:t>1</w:t>
      </w:r>
      <w:r>
        <w:rPr>
          <w:szCs w:val="21"/>
        </w:rPr>
        <w:t>1.采购在接到采购人的书面结果确认文件后</w:t>
      </w:r>
      <w:r>
        <w:rPr>
          <w:rFonts w:hint="eastAsia"/>
          <w:szCs w:val="21"/>
        </w:rPr>
        <w:t>，将本项目的采购成交结果</w:t>
      </w:r>
      <w:r>
        <w:rPr>
          <w:szCs w:val="21"/>
        </w:rPr>
        <w:t>在媒体上对外公示</w:t>
      </w:r>
      <w:r>
        <w:rPr>
          <w:rFonts w:hint="eastAsia"/>
          <w:szCs w:val="21"/>
        </w:rPr>
        <w:t>，</w:t>
      </w:r>
      <w:r>
        <w:rPr>
          <w:szCs w:val="21"/>
        </w:rPr>
        <w:t>公示日期不少于</w:t>
      </w:r>
      <w:r>
        <w:rPr>
          <w:rFonts w:hint="eastAsia"/>
          <w:szCs w:val="21"/>
        </w:rPr>
        <w:t>3</w:t>
      </w:r>
      <w:r>
        <w:rPr>
          <w:szCs w:val="21"/>
        </w:rPr>
        <w:t>个日历日。</w:t>
      </w:r>
    </w:p>
    <w:p>
      <w:pPr>
        <w:tabs>
          <w:tab w:val="clear" w:pos="426"/>
        </w:tabs>
        <w:ind w:firstLine="420" w:firstLineChars="200"/>
        <w:rPr>
          <w:szCs w:val="21"/>
        </w:rPr>
      </w:pPr>
      <w:r>
        <w:rPr>
          <w:rFonts w:hint="eastAsia"/>
          <w:szCs w:val="21"/>
        </w:rPr>
        <w:t>1</w:t>
      </w:r>
      <w:r>
        <w:rPr>
          <w:szCs w:val="21"/>
        </w:rPr>
        <w:t>2.采购结果公示结束后</w:t>
      </w:r>
      <w:r>
        <w:rPr>
          <w:rFonts w:hint="eastAsia"/>
          <w:szCs w:val="21"/>
        </w:rPr>
        <w:t>，如无质疑投诉，采购</w:t>
      </w:r>
      <w:r>
        <w:rPr>
          <w:szCs w:val="21"/>
        </w:rPr>
        <w:t>向成交供应商发出成交通知书</w:t>
      </w:r>
      <w:r>
        <w:rPr>
          <w:rFonts w:hint="eastAsia"/>
          <w:szCs w:val="21"/>
        </w:rPr>
        <w:t>。</w:t>
      </w:r>
    </w:p>
    <w:p>
      <w:pPr>
        <w:shd w:val="clear" w:color="auto" w:fill="auto"/>
        <w:tabs>
          <w:tab w:val="clear" w:pos="426"/>
        </w:tabs>
        <w:adjustRightInd/>
        <w:snapToGrid/>
        <w:spacing w:line="240" w:lineRule="auto"/>
        <w:jc w:val="left"/>
        <w:rPr>
          <w:rFonts w:cs="Times New Roman"/>
          <w:b/>
          <w:kern w:val="2"/>
          <w:sz w:val="24"/>
        </w:rPr>
      </w:pPr>
      <w:r>
        <w:br w:type="page"/>
      </w:r>
    </w:p>
    <w:p>
      <w:pPr>
        <w:pStyle w:val="126"/>
        <w:ind w:firstLine="482"/>
        <w:jc w:val="center"/>
        <w:rPr>
          <w:b/>
        </w:rPr>
      </w:pPr>
      <w:bookmarkStart w:id="7" w:name="_Toc432592812"/>
      <w:bookmarkStart w:id="8" w:name="_Hlk24731683"/>
      <w:r>
        <w:rPr>
          <w:rFonts w:hint="eastAsia"/>
          <w:b/>
        </w:rPr>
        <w:t>需要落实的政府采购政策</w:t>
      </w:r>
    </w:p>
    <w:p>
      <w:pPr>
        <w:tabs>
          <w:tab w:val="clear" w:pos="426"/>
        </w:tabs>
        <w:spacing w:line="300" w:lineRule="auto"/>
        <w:ind w:firstLine="422" w:firstLineChars="200"/>
        <w:rPr>
          <w:b/>
          <w:bCs/>
          <w:szCs w:val="21"/>
        </w:rPr>
      </w:pPr>
      <w:r>
        <w:rPr>
          <w:rFonts w:hint="eastAsia"/>
          <w:b/>
          <w:bCs/>
          <w:szCs w:val="21"/>
        </w:rPr>
        <w:t>一、评标优惠政策</w:t>
      </w:r>
    </w:p>
    <w:p>
      <w:pPr>
        <w:tabs>
          <w:tab w:val="clear" w:pos="426"/>
        </w:tabs>
        <w:spacing w:line="300" w:lineRule="auto"/>
        <w:ind w:firstLine="420" w:firstLineChars="200"/>
        <w:rPr>
          <w:szCs w:val="21"/>
        </w:rPr>
      </w:pPr>
      <w:r>
        <w:rPr>
          <w:rFonts w:hint="eastAsia"/>
          <w:szCs w:val="21"/>
        </w:rPr>
        <w:t>（一）小型企业、微型企业、监狱企业、残疾人福利性单位提供本企业制造的货物，或者提供其他符合优惠主体资格条件企业制造的货物，对其所投产品的价格给予</w:t>
      </w:r>
      <w:r>
        <w:rPr>
          <w:szCs w:val="21"/>
          <w:u w:val="single"/>
        </w:rPr>
        <w:t>__</w:t>
      </w:r>
      <w:r>
        <w:rPr>
          <w:rFonts w:hint="eastAsia"/>
          <w:szCs w:val="21"/>
          <w:highlight w:val="yellow"/>
          <w:u w:val="single"/>
        </w:rPr>
        <w:t>10</w:t>
      </w:r>
      <w:r>
        <w:rPr>
          <w:b/>
          <w:bCs/>
          <w:szCs w:val="21"/>
          <w:highlight w:val="yellow"/>
          <w:u w:val="single"/>
        </w:rPr>
        <w:t>%_</w:t>
      </w:r>
      <w:r>
        <w:rPr>
          <w:b/>
          <w:bCs/>
          <w:szCs w:val="21"/>
          <w:u w:val="single"/>
        </w:rPr>
        <w:t>_</w:t>
      </w:r>
      <w:r>
        <w:rPr>
          <w:b/>
          <w:bCs/>
          <w:szCs w:val="21"/>
        </w:rPr>
        <w:t>（6%-10%）</w:t>
      </w:r>
      <w:r>
        <w:rPr>
          <w:szCs w:val="21"/>
        </w:rPr>
        <w:t>的扣除，用扣除后的价格参与评审。满足多项优惠政策的企业，不重复享受多项价格扣除政策。（以上所提货物，是指单一产品采购项目中的货物，或者非单一产品采购项目中的核心产品（货物），不包括使用大型企业注册商标的货物。）</w:t>
      </w:r>
    </w:p>
    <w:p>
      <w:pPr>
        <w:tabs>
          <w:tab w:val="clear" w:pos="426"/>
        </w:tabs>
        <w:spacing w:line="300" w:lineRule="auto"/>
        <w:ind w:firstLine="420" w:firstLineChars="200"/>
        <w:rPr>
          <w:szCs w:val="21"/>
        </w:rPr>
      </w:pPr>
      <w:r>
        <w:rPr>
          <w:rFonts w:hint="eastAsia"/>
          <w:szCs w:val="21"/>
        </w:rPr>
        <w:t>（二）优惠主体资格的认定资料为《中小企业声明函》、《残疾人福利性单位声明函》以及《监狱企业声明函》等承诺性质的资料（声明函样式见本采购文件 “应答文件格式、附件”中“四、应答人情况介绍”章节提供的格式）；监狱企业或者代理提供监狱企业货物的供应商如须享受优惠政策，除上述资料外，还须提供省级以上监狱管理局、戒毒管理局出具的监狱企业证明文件。</w:t>
      </w:r>
    </w:p>
    <w:p>
      <w:pPr>
        <w:tabs>
          <w:tab w:val="clear" w:pos="426"/>
        </w:tabs>
        <w:spacing w:line="300" w:lineRule="auto"/>
        <w:ind w:firstLine="422" w:firstLineChars="200"/>
        <w:rPr>
          <w:b/>
          <w:bCs/>
          <w:szCs w:val="21"/>
        </w:rPr>
      </w:pPr>
      <w:r>
        <w:rPr>
          <w:rFonts w:hint="eastAsia"/>
          <w:b/>
          <w:bCs/>
          <w:szCs w:val="21"/>
        </w:rPr>
        <w:t>二、关于失信供应商的价格上浮</w:t>
      </w:r>
    </w:p>
    <w:p>
      <w:pPr>
        <w:tabs>
          <w:tab w:val="clear" w:pos="426"/>
        </w:tabs>
        <w:spacing w:line="300" w:lineRule="auto"/>
        <w:ind w:firstLine="420" w:firstLineChars="200"/>
        <w:rPr>
          <w:szCs w:val="21"/>
        </w:rPr>
      </w:pPr>
      <w:r>
        <w:rPr>
          <w:szCs w:val="21"/>
        </w:rPr>
        <w:t>采取价格评比法（比如最低</w:t>
      </w:r>
      <w:r>
        <w:rPr>
          <w:rFonts w:hint="eastAsia"/>
          <w:szCs w:val="21"/>
        </w:rPr>
        <w:t>评标</w:t>
      </w:r>
      <w:r>
        <w:rPr>
          <w:szCs w:val="21"/>
        </w:rPr>
        <w:t>价法）的项目，因违法违规行为被记入诚信档案的失信供应商最终报价在该企业最后一轮报价的基础上上浮10%。失信供应商符合优惠主体资格的，价格扣除和价格上浮一并执行。</w:t>
      </w:r>
    </w:p>
    <w:p>
      <w:pPr>
        <w:tabs>
          <w:tab w:val="clear" w:pos="426"/>
        </w:tabs>
        <w:spacing w:line="300" w:lineRule="auto"/>
        <w:ind w:firstLine="422" w:firstLineChars="200"/>
        <w:rPr>
          <w:b/>
          <w:bCs/>
          <w:szCs w:val="21"/>
        </w:rPr>
      </w:pPr>
      <w:r>
        <w:rPr>
          <w:rFonts w:hint="eastAsia"/>
          <w:b/>
          <w:bCs/>
          <w:szCs w:val="21"/>
        </w:rPr>
        <w:t>三、疫情防控</w:t>
      </w:r>
    </w:p>
    <w:p>
      <w:pPr>
        <w:tabs>
          <w:tab w:val="clear" w:pos="426"/>
        </w:tabs>
        <w:spacing w:line="300" w:lineRule="auto"/>
        <w:ind w:firstLine="420" w:firstLineChars="200"/>
        <w:rPr>
          <w:bCs/>
          <w:szCs w:val="21"/>
        </w:rPr>
      </w:pPr>
      <w:r>
        <w:rPr>
          <w:rFonts w:hint="eastAsia"/>
          <w:bCs/>
          <w:szCs w:val="21"/>
        </w:rPr>
        <w:t>根据《深圳市财政局</w:t>
      </w:r>
      <w:r>
        <w:rPr>
          <w:bCs/>
          <w:szCs w:val="21"/>
        </w:rPr>
        <w:t xml:space="preserve"> 深圳市政府采购中心关于印发&lt;深圳市政府采购落实支持企业复工复产政策的实施细则&gt;的通知》（深府购〔2020〕24号）的规定</w:t>
      </w:r>
      <w:r>
        <w:rPr>
          <w:rFonts w:hint="eastAsia"/>
          <w:bCs/>
          <w:szCs w:val="21"/>
        </w:rPr>
        <w:t>：</w:t>
      </w:r>
    </w:p>
    <w:p>
      <w:pPr>
        <w:tabs>
          <w:tab w:val="clear" w:pos="426"/>
        </w:tabs>
        <w:spacing w:line="300" w:lineRule="auto"/>
        <w:ind w:firstLine="420" w:firstLineChars="200"/>
        <w:rPr>
          <w:bCs/>
          <w:szCs w:val="21"/>
        </w:rPr>
      </w:pPr>
      <w:r>
        <w:rPr>
          <w:bCs/>
          <w:szCs w:val="21"/>
        </w:rPr>
        <w:t>1.鼓励采购人积极运用公共信用信息，明确对信用记录良好的谈判应答人（特</w:t>
      </w:r>
      <w:r>
        <w:rPr>
          <w:rFonts w:hint="eastAsia"/>
          <w:bCs/>
          <w:szCs w:val="21"/>
        </w:rPr>
        <w:t>别是中小微企业）免收履约保证金，确需收取履约保证金的，列明通过保函等非现金方式收取；</w:t>
      </w:r>
    </w:p>
    <w:p>
      <w:pPr>
        <w:tabs>
          <w:tab w:val="clear" w:pos="426"/>
        </w:tabs>
        <w:spacing w:line="300" w:lineRule="auto"/>
        <w:ind w:firstLine="420" w:firstLineChars="200"/>
        <w:rPr>
          <w:bCs/>
          <w:szCs w:val="21"/>
        </w:rPr>
      </w:pPr>
      <w:r>
        <w:rPr>
          <w:bCs/>
          <w:szCs w:val="21"/>
        </w:rPr>
        <w:t>2.在采购合同中明确对上述企业加大首付款或预付款比例，具体由采购人根据项目实际情况确定。</w:t>
      </w:r>
    </w:p>
    <w:p>
      <w:pPr>
        <w:tabs>
          <w:tab w:val="clear" w:pos="426"/>
        </w:tabs>
        <w:spacing w:line="300" w:lineRule="auto"/>
        <w:ind w:firstLine="422" w:firstLineChars="200"/>
        <w:rPr>
          <w:b/>
          <w:szCs w:val="21"/>
        </w:rPr>
      </w:pPr>
      <w:r>
        <w:rPr>
          <w:rFonts w:hint="eastAsia"/>
          <w:b/>
          <w:szCs w:val="21"/>
        </w:rPr>
        <w:t>四、其他需要落实的政府采购政策</w:t>
      </w:r>
    </w:p>
    <w:p>
      <w:pPr>
        <w:tabs>
          <w:tab w:val="clear" w:pos="426"/>
        </w:tabs>
        <w:spacing w:line="300" w:lineRule="auto"/>
        <w:ind w:firstLine="420" w:firstLineChars="200"/>
        <w:rPr>
          <w:bCs/>
          <w:szCs w:val="21"/>
        </w:rPr>
      </w:pPr>
      <w:r>
        <w:rPr>
          <w:rFonts w:hint="eastAsia"/>
          <w:bCs/>
          <w:szCs w:val="21"/>
        </w:rPr>
        <w:t>（一）采购人拟采购的产品属于《关于调整优化节能产品环境标志产品政府采购执行机制的通知》（财库〔</w:t>
      </w:r>
      <w:r>
        <w:rPr>
          <w:bCs/>
          <w:szCs w:val="21"/>
        </w:rPr>
        <w:t>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rFonts w:hint="eastAsia"/>
          <w:bCs/>
          <w:szCs w:val="21"/>
        </w:rPr>
        <w:t>提出相关绿色采购要求，促进绿色产品推广应用。</w:t>
      </w:r>
    </w:p>
    <w:p>
      <w:pPr>
        <w:widowControl w:val="0"/>
        <w:shd w:val="clear" w:color="auto" w:fill="auto"/>
        <w:tabs>
          <w:tab w:val="clear" w:pos="426"/>
        </w:tabs>
        <w:spacing w:line="300" w:lineRule="auto"/>
        <w:ind w:firstLine="420" w:firstLineChars="200"/>
        <w:rPr>
          <w:rFonts w:cs="Times New Roman"/>
          <w:kern w:val="2"/>
          <w:szCs w:val="21"/>
        </w:rPr>
      </w:pPr>
      <w:r>
        <w:rPr>
          <w:rFonts w:hint="eastAsia" w:cs="Times New Roman"/>
          <w:kern w:val="2"/>
          <w:szCs w:val="21"/>
        </w:rPr>
        <w:t>（二）</w:t>
      </w:r>
      <w:r>
        <w:rPr>
          <w:rFonts w:cs="Times New Roman"/>
          <w:kern w:val="2"/>
          <w:szCs w:val="21"/>
        </w:rPr>
        <w:t>根据《深圳市人民政府关于印发深圳市贯彻落实守信联合激励和失信联合惩戒制度实施方案的通知》（深府〔2017〕57号）、《深圳市政府采购供应商诚信管理暂行办法》（深财规〔2017〕8号）以及《深圳市财政局关于印发&lt;深圳市政府采购供应商诚信管理暂行办法操作细则&gt;的通知》的要求，对列入失信“黑名单”的供应商限制参与政府采购。</w:t>
      </w:r>
    </w:p>
    <w:p>
      <w:pPr>
        <w:widowControl w:val="0"/>
        <w:shd w:val="clear" w:color="auto" w:fill="auto"/>
        <w:tabs>
          <w:tab w:val="clear" w:pos="426"/>
        </w:tabs>
        <w:spacing w:line="300" w:lineRule="auto"/>
        <w:ind w:firstLine="420" w:firstLineChars="200"/>
        <w:rPr>
          <w:rFonts w:cs="Times New Roman"/>
          <w:kern w:val="2"/>
          <w:szCs w:val="21"/>
        </w:rPr>
      </w:pPr>
      <w:r>
        <w:rPr>
          <w:rFonts w:hint="eastAsia" w:cs="Times New Roman"/>
          <w:kern w:val="2"/>
          <w:szCs w:val="21"/>
        </w:rPr>
        <w:t>（三）</w:t>
      </w:r>
      <w:r>
        <w:rPr>
          <w:rFonts w:cs="Times New Roman"/>
          <w:kern w:val="2"/>
          <w:szCs w:val="21"/>
        </w:rPr>
        <w:t>若供应商在政府采购活动中出现《深圳经济特区政府采购条例实施细则》第八十四条规定情形的，采购人或谈判机构可将有关情况报同级财政部门，由财政部门根据实际情况记入供应商诚信档案，予以通报。市、区财政部门将加大对违法违规供应商的惩戒力度，实施联合惩戒。</w:t>
      </w:r>
    </w:p>
    <w:p>
      <w:pPr>
        <w:widowControl w:val="0"/>
        <w:shd w:val="clear" w:color="auto" w:fill="auto"/>
        <w:tabs>
          <w:tab w:val="clear" w:pos="426"/>
        </w:tabs>
        <w:spacing w:line="300" w:lineRule="auto"/>
        <w:ind w:firstLine="420" w:firstLineChars="200"/>
        <w:rPr>
          <w:rFonts w:cs="Times New Roman"/>
          <w:kern w:val="2"/>
          <w:szCs w:val="21"/>
        </w:rPr>
      </w:pPr>
      <w:r>
        <w:rPr>
          <w:rFonts w:hint="eastAsia" w:cs="Times New Roman"/>
          <w:kern w:val="2"/>
          <w:szCs w:val="21"/>
        </w:rPr>
        <w:t>（四）</w:t>
      </w:r>
      <w:r>
        <w:rPr>
          <w:rFonts w:cs="Times New Roman"/>
          <w:kern w:val="2"/>
          <w:szCs w:val="21"/>
        </w:rPr>
        <w:t>根据财政部《关于在政府采购活动中查询及使用信用记录有关问题的通知》（财库〔2016〕125号）、《深圳市政府采购供应商诚信管理暂行办法》（深财规〔2017〕8号），供应商信用信息的查询渠道为“信用中国（https：//www.creditchina.gov.cn/）”</w:t>
      </w:r>
      <w:r>
        <w:rPr>
          <w:rFonts w:hint="eastAsia" w:cs="Times New Roman"/>
          <w:kern w:val="2"/>
          <w:szCs w:val="21"/>
        </w:rPr>
        <w:t>中的“信用服务”栏的“重大税收违法案件当事人名单”“失信被执行人”</w:t>
      </w:r>
      <w:r>
        <w:rPr>
          <w:rFonts w:cs="Times New Roman"/>
          <w:kern w:val="2"/>
          <w:szCs w:val="21"/>
        </w:rPr>
        <w:t>、“中国政府采购网（http：//www.ccgp.gov.cn/）”</w:t>
      </w:r>
      <w:r>
        <w:rPr>
          <w:rFonts w:hint="eastAsia" w:cs="Times New Roman"/>
          <w:kern w:val="2"/>
          <w:szCs w:val="21"/>
        </w:rPr>
        <w:t xml:space="preserve"> 中的“政府采购严重违法失信行为记录名单”</w:t>
      </w:r>
      <w:r>
        <w:rPr>
          <w:rFonts w:cs="Times New Roman"/>
          <w:kern w:val="2"/>
          <w:szCs w:val="21"/>
        </w:rPr>
        <w:t>、</w:t>
      </w:r>
      <w:r>
        <w:rPr>
          <w:rFonts w:hint="eastAsia" w:cs="Times New Roman"/>
          <w:kern w:val="2"/>
          <w:szCs w:val="21"/>
        </w:rPr>
        <w:t>“深圳信用网（</w:t>
      </w:r>
      <w:r>
        <w:rPr>
          <w:rFonts w:cs="Times New Roman"/>
          <w:kern w:val="2"/>
          <w:szCs w:val="21"/>
        </w:rPr>
        <w:t>https：//www.szcredit.org.cn/</w:t>
      </w:r>
      <w:r>
        <w:rPr>
          <w:rFonts w:hint="eastAsia" w:cs="Times New Roman"/>
          <w:kern w:val="2"/>
          <w:szCs w:val="21"/>
        </w:rPr>
        <w:t>）”、</w:t>
      </w:r>
      <w:r>
        <w:rPr>
          <w:rFonts w:cs="Times New Roman"/>
          <w:kern w:val="2"/>
          <w:szCs w:val="21"/>
        </w:rPr>
        <w:t>“深圳市政府采购监管网（http：//www.zfcg.sz.gov.cn/）”，相关信息以</w:t>
      </w:r>
      <w:r>
        <w:rPr>
          <w:rFonts w:hint="eastAsia" w:cs="Times New Roman"/>
          <w:kern w:val="2"/>
          <w:szCs w:val="21"/>
        </w:rPr>
        <w:t>开标当日</w:t>
      </w:r>
      <w:r>
        <w:rPr>
          <w:rFonts w:cs="Times New Roman"/>
          <w:kern w:val="2"/>
          <w:szCs w:val="21"/>
        </w:rPr>
        <w:t>的查询结果为准。</w:t>
      </w:r>
    </w:p>
    <w:p>
      <w:pPr>
        <w:shd w:val="clear" w:color="auto" w:fill="auto"/>
        <w:tabs>
          <w:tab w:val="clear" w:pos="426"/>
        </w:tabs>
        <w:adjustRightInd/>
        <w:snapToGrid/>
        <w:spacing w:line="240" w:lineRule="auto"/>
        <w:jc w:val="left"/>
        <w:rPr>
          <w:rFonts w:cs="Times New Roman"/>
          <w:b/>
          <w:kern w:val="2"/>
          <w:sz w:val="24"/>
        </w:rPr>
      </w:pPr>
      <w:r>
        <w:br w:type="page"/>
      </w:r>
    </w:p>
    <w:p>
      <w:pPr>
        <w:pStyle w:val="321"/>
      </w:pPr>
      <w:r>
        <w:rPr>
          <w:rFonts w:hint="eastAsia"/>
        </w:rPr>
        <w:t>代理服务取费说明</w:t>
      </w:r>
    </w:p>
    <w:p>
      <w:pPr>
        <w:tabs>
          <w:tab w:val="clear" w:pos="426"/>
        </w:tabs>
        <w:spacing w:line="300" w:lineRule="auto"/>
        <w:ind w:firstLine="420" w:firstLineChars="200"/>
        <w:rPr>
          <w:szCs w:val="21"/>
        </w:rPr>
      </w:pPr>
      <w:r>
        <w:rPr>
          <w:rFonts w:hint="eastAsia"/>
          <w:szCs w:val="21"/>
        </w:rPr>
        <w:t>（1）计算基数：成交金额。</w:t>
      </w:r>
    </w:p>
    <w:p>
      <w:pPr>
        <w:tabs>
          <w:tab w:val="clear" w:pos="426"/>
        </w:tabs>
        <w:spacing w:line="300" w:lineRule="auto"/>
        <w:ind w:firstLine="420" w:firstLineChars="200"/>
        <w:rPr>
          <w:szCs w:val="21"/>
        </w:rPr>
      </w:pPr>
      <w:r>
        <w:rPr>
          <w:rFonts w:hint="eastAsia"/>
          <w:szCs w:val="21"/>
        </w:rPr>
        <w:t>（</w:t>
      </w:r>
      <w:r>
        <w:rPr>
          <w:szCs w:val="21"/>
        </w:rPr>
        <w:t>2）</w:t>
      </w:r>
      <w:r>
        <w:rPr>
          <w:rFonts w:hint="eastAsia"/>
          <w:szCs w:val="21"/>
        </w:rPr>
        <w:t>计算方法：采购代理机构以采购文件规定的计算基数，依据《深圳市财政局关于规范深圳市社会采购代理机构管理有关事项的补充通知》（深财购〔</w:t>
      </w:r>
      <w:r>
        <w:rPr>
          <w:szCs w:val="21"/>
        </w:rPr>
        <w:t>2018〕27号）规定的谈判代理服务费收费</w:t>
      </w:r>
      <w:r>
        <w:rPr>
          <w:rFonts w:hint="eastAsia"/>
          <w:szCs w:val="21"/>
        </w:rPr>
        <w:t>标准</w:t>
      </w:r>
      <w:r>
        <w:rPr>
          <w:szCs w:val="21"/>
        </w:rPr>
        <w:t>，按差额定率累进法计算</w:t>
      </w:r>
      <w:r>
        <w:rPr>
          <w:rFonts w:hint="eastAsia"/>
          <w:szCs w:val="21"/>
        </w:rPr>
        <w:t>。</w:t>
      </w:r>
    </w:p>
    <w:p>
      <w:pPr>
        <w:tabs>
          <w:tab w:val="clear" w:pos="426"/>
        </w:tabs>
        <w:spacing w:line="300" w:lineRule="auto"/>
        <w:ind w:firstLine="420" w:firstLineChars="200"/>
        <w:rPr>
          <w:szCs w:val="21"/>
        </w:rPr>
      </w:pPr>
      <w:r>
        <w:rPr>
          <w:rFonts w:hint="eastAsia"/>
          <w:szCs w:val="21"/>
        </w:rPr>
        <w:t>（</w:t>
      </w:r>
      <w:r>
        <w:rPr>
          <w:szCs w:val="21"/>
        </w:rPr>
        <w:t>3</w:t>
      </w:r>
      <w:r>
        <w:rPr>
          <w:rFonts w:hint="eastAsia"/>
          <w:szCs w:val="21"/>
        </w:rPr>
        <w:t>）支付人：成交人。</w:t>
      </w:r>
    </w:p>
    <w:p>
      <w:pPr>
        <w:tabs>
          <w:tab w:val="clear" w:pos="426"/>
        </w:tabs>
        <w:spacing w:line="300" w:lineRule="auto"/>
        <w:ind w:firstLine="420" w:firstLineChars="200"/>
        <w:rPr>
          <w:szCs w:val="21"/>
        </w:rPr>
      </w:pPr>
      <w:r>
        <w:rPr>
          <w:rFonts w:hint="eastAsia"/>
          <w:szCs w:val="21"/>
        </w:rPr>
        <w:t>（</w:t>
      </w:r>
      <w:r>
        <w:rPr>
          <w:szCs w:val="21"/>
        </w:rPr>
        <w:t>4）支付方式：银行转账。</w:t>
      </w:r>
    </w:p>
    <w:p>
      <w:pPr>
        <w:tabs>
          <w:tab w:val="clear" w:pos="426"/>
        </w:tabs>
        <w:spacing w:line="300" w:lineRule="auto"/>
        <w:ind w:firstLine="420" w:firstLineChars="200"/>
        <w:rPr>
          <w:szCs w:val="21"/>
        </w:rPr>
      </w:pPr>
      <w:r>
        <w:rPr>
          <w:rFonts w:hint="eastAsia"/>
          <w:szCs w:val="21"/>
        </w:rPr>
        <w:t>（</w:t>
      </w:r>
      <w:r>
        <w:rPr>
          <w:szCs w:val="21"/>
        </w:rPr>
        <w:t>5）收款账户信息如下：</w:t>
      </w:r>
    </w:p>
    <w:p>
      <w:pPr>
        <w:spacing w:line="276" w:lineRule="auto"/>
        <w:ind w:firstLine="630" w:firstLineChars="300"/>
      </w:pPr>
      <w:r>
        <w:t>账户名称：深圳市鑫润招标代理有限公司</w:t>
      </w:r>
    </w:p>
    <w:p>
      <w:pPr>
        <w:spacing w:line="276" w:lineRule="auto"/>
        <w:ind w:firstLine="630" w:firstLineChars="300"/>
      </w:pPr>
      <w:r>
        <w:t>帐</w:t>
      </w:r>
      <w:r>
        <w:rPr>
          <w:rFonts w:hint="eastAsia"/>
        </w:rPr>
        <w:t xml:space="preserve"> </w:t>
      </w:r>
      <w:r>
        <w:t>  号：747171810893</w:t>
      </w:r>
    </w:p>
    <w:p>
      <w:pPr>
        <w:spacing w:line="276" w:lineRule="auto"/>
        <w:ind w:left="420" w:leftChars="200" w:firstLine="210" w:firstLineChars="100"/>
        <w:rPr>
          <w:szCs w:val="21"/>
        </w:rPr>
      </w:pPr>
      <w:r>
        <w:t>开户银行：中国银行深圳公园大地支行</w:t>
      </w:r>
      <w:r>
        <w:br w:type="textWrapping"/>
      </w:r>
    </w:p>
    <w:p>
      <w:pPr>
        <w:tabs>
          <w:tab w:val="clear" w:pos="426"/>
        </w:tabs>
        <w:spacing w:line="300" w:lineRule="auto"/>
        <w:ind w:firstLine="420" w:firstLineChars="200"/>
        <w:rPr>
          <w:szCs w:val="21"/>
        </w:rPr>
      </w:pPr>
    </w:p>
    <w:p>
      <w:pPr>
        <w:tabs>
          <w:tab w:val="clear" w:pos="426"/>
        </w:tabs>
        <w:spacing w:line="300" w:lineRule="auto"/>
        <w:jc w:val="center"/>
        <w:rPr>
          <w:szCs w:val="21"/>
        </w:rPr>
      </w:pPr>
      <w:r>
        <w:rPr>
          <w:rFonts w:hint="eastAsia"/>
          <w:szCs w:val="21"/>
        </w:rPr>
        <w:t>谈判代理服务收费标准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szCs w:val="21"/>
              </w:rPr>
            </w:pPr>
            <w:r>
              <w:rPr>
                <w:rFonts w:hint="eastAsia"/>
                <w:szCs w:val="21"/>
              </w:rPr>
              <w:t>服务类型</w:t>
            </w:r>
          </w:p>
          <w:p>
            <w:pPr>
              <w:tabs>
                <w:tab w:val="clear" w:pos="426"/>
              </w:tabs>
              <w:spacing w:line="300" w:lineRule="auto"/>
              <w:jc w:val="center"/>
              <w:rPr>
                <w:szCs w:val="21"/>
              </w:rPr>
            </w:pPr>
            <w:r>
              <w:rPr>
                <w:rFonts w:hint="eastAsia"/>
                <w:szCs w:val="21"/>
              </w:rPr>
              <w:t>费率</w:t>
            </w:r>
          </w:p>
          <w:p>
            <w:pPr>
              <w:tabs>
                <w:tab w:val="clear" w:pos="426"/>
              </w:tabs>
              <w:spacing w:line="300" w:lineRule="auto"/>
              <w:rPr>
                <w:szCs w:val="21"/>
              </w:rPr>
            </w:pPr>
            <w:r>
              <w:rPr>
                <w:rFonts w:hint="eastAsia"/>
                <w:szCs w:val="21"/>
              </w:rPr>
              <w:t>成交金额</w:t>
            </w:r>
          </w:p>
        </w:tc>
        <w:tc>
          <w:tcPr>
            <w:tcW w:w="1845" w:type="dxa"/>
            <w:vAlign w:val="center"/>
          </w:tcPr>
          <w:p>
            <w:pPr>
              <w:spacing w:line="240" w:lineRule="auto"/>
              <w:jc w:val="center"/>
              <w:rPr>
                <w:szCs w:val="21"/>
              </w:rPr>
            </w:pPr>
            <w:r>
              <w:rPr>
                <w:rFonts w:hint="eastAsia"/>
                <w:szCs w:val="21"/>
              </w:rPr>
              <w:t>货物采购</w:t>
            </w:r>
          </w:p>
        </w:tc>
        <w:tc>
          <w:tcPr>
            <w:tcW w:w="1845" w:type="dxa"/>
            <w:vAlign w:val="center"/>
          </w:tcPr>
          <w:p>
            <w:pPr>
              <w:spacing w:line="240" w:lineRule="auto"/>
              <w:jc w:val="center"/>
              <w:rPr>
                <w:szCs w:val="21"/>
              </w:rPr>
            </w:pPr>
            <w:r>
              <w:rPr>
                <w:szCs w:val="21"/>
              </w:rPr>
              <w:t>服务采购</w:t>
            </w:r>
          </w:p>
        </w:tc>
        <w:tc>
          <w:tcPr>
            <w:tcW w:w="1846" w:type="dxa"/>
            <w:vAlign w:val="center"/>
          </w:tcPr>
          <w:p>
            <w:pPr>
              <w:spacing w:line="240" w:lineRule="auto"/>
              <w:jc w:val="center"/>
              <w:rPr>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spacing w:line="240" w:lineRule="auto"/>
              <w:jc w:val="left"/>
              <w:rPr>
                <w:color w:val="000000"/>
                <w:szCs w:val="21"/>
              </w:rPr>
            </w:pPr>
            <w:r>
              <w:rPr>
                <w:color w:val="000000"/>
                <w:szCs w:val="21"/>
              </w:rPr>
              <w:t>100万元以下</w:t>
            </w:r>
          </w:p>
        </w:tc>
        <w:tc>
          <w:tcPr>
            <w:tcW w:w="1845" w:type="dxa"/>
            <w:vAlign w:val="center"/>
          </w:tcPr>
          <w:p>
            <w:pPr>
              <w:spacing w:line="240" w:lineRule="auto"/>
              <w:jc w:val="center"/>
              <w:rPr>
                <w:color w:val="000000"/>
                <w:szCs w:val="21"/>
              </w:rPr>
            </w:pPr>
            <w:r>
              <w:rPr>
                <w:color w:val="000000"/>
                <w:szCs w:val="21"/>
              </w:rPr>
              <w:t>1.500%</w:t>
            </w:r>
          </w:p>
        </w:tc>
        <w:tc>
          <w:tcPr>
            <w:tcW w:w="1845" w:type="dxa"/>
            <w:vAlign w:val="center"/>
          </w:tcPr>
          <w:p>
            <w:pPr>
              <w:spacing w:line="240" w:lineRule="auto"/>
              <w:jc w:val="center"/>
              <w:rPr>
                <w:color w:val="000000"/>
                <w:szCs w:val="21"/>
              </w:rPr>
            </w:pPr>
            <w:r>
              <w:rPr>
                <w:color w:val="000000"/>
                <w:szCs w:val="21"/>
              </w:rPr>
              <w:t>1.500%</w:t>
            </w:r>
          </w:p>
        </w:tc>
        <w:tc>
          <w:tcPr>
            <w:tcW w:w="1846" w:type="dxa"/>
            <w:vAlign w:val="center"/>
          </w:tcPr>
          <w:p>
            <w:pPr>
              <w:spacing w:line="240" w:lineRule="auto"/>
              <w:jc w:val="center"/>
              <w:rPr>
                <w:color w:val="000000"/>
                <w:szCs w:val="21"/>
              </w:rPr>
            </w:pPr>
            <w:r>
              <w:rPr>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100万元（含）-500万元</w:t>
            </w:r>
          </w:p>
        </w:tc>
        <w:tc>
          <w:tcPr>
            <w:tcW w:w="1845" w:type="dxa"/>
            <w:vAlign w:val="center"/>
          </w:tcPr>
          <w:p>
            <w:pPr>
              <w:spacing w:line="240" w:lineRule="auto"/>
              <w:jc w:val="center"/>
              <w:rPr>
                <w:color w:val="000000"/>
                <w:szCs w:val="21"/>
              </w:rPr>
            </w:pPr>
            <w:r>
              <w:rPr>
                <w:color w:val="000000"/>
                <w:szCs w:val="21"/>
              </w:rPr>
              <w:t>1.100%</w:t>
            </w:r>
          </w:p>
        </w:tc>
        <w:tc>
          <w:tcPr>
            <w:tcW w:w="1845" w:type="dxa"/>
            <w:vAlign w:val="center"/>
          </w:tcPr>
          <w:p>
            <w:pPr>
              <w:spacing w:line="240" w:lineRule="auto"/>
              <w:jc w:val="center"/>
              <w:rPr>
                <w:color w:val="000000"/>
                <w:szCs w:val="21"/>
              </w:rPr>
            </w:pPr>
            <w:r>
              <w:rPr>
                <w:color w:val="000000"/>
                <w:szCs w:val="21"/>
              </w:rPr>
              <w:t>0.800%</w:t>
            </w:r>
          </w:p>
        </w:tc>
        <w:tc>
          <w:tcPr>
            <w:tcW w:w="1846" w:type="dxa"/>
            <w:vAlign w:val="center"/>
          </w:tcPr>
          <w:p>
            <w:pPr>
              <w:spacing w:line="240" w:lineRule="auto"/>
              <w:jc w:val="center"/>
              <w:rPr>
                <w:color w:val="000000"/>
                <w:szCs w:val="21"/>
              </w:rPr>
            </w:pPr>
            <w:r>
              <w:rPr>
                <w:color w:val="00000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500万元（含）-1000万元</w:t>
            </w:r>
          </w:p>
        </w:tc>
        <w:tc>
          <w:tcPr>
            <w:tcW w:w="1845" w:type="dxa"/>
            <w:vAlign w:val="center"/>
          </w:tcPr>
          <w:p>
            <w:pPr>
              <w:spacing w:line="240" w:lineRule="auto"/>
              <w:jc w:val="center"/>
              <w:rPr>
                <w:color w:val="000000"/>
                <w:szCs w:val="21"/>
              </w:rPr>
            </w:pPr>
            <w:r>
              <w:rPr>
                <w:color w:val="000000"/>
                <w:szCs w:val="21"/>
              </w:rPr>
              <w:t>0.800%</w:t>
            </w:r>
          </w:p>
        </w:tc>
        <w:tc>
          <w:tcPr>
            <w:tcW w:w="1845" w:type="dxa"/>
            <w:vAlign w:val="center"/>
          </w:tcPr>
          <w:p>
            <w:pPr>
              <w:spacing w:line="240" w:lineRule="auto"/>
              <w:jc w:val="center"/>
              <w:rPr>
                <w:color w:val="000000"/>
                <w:szCs w:val="21"/>
              </w:rPr>
            </w:pPr>
            <w:r>
              <w:rPr>
                <w:color w:val="000000"/>
                <w:szCs w:val="21"/>
              </w:rPr>
              <w:t>0.450%</w:t>
            </w:r>
          </w:p>
        </w:tc>
        <w:tc>
          <w:tcPr>
            <w:tcW w:w="1846" w:type="dxa"/>
            <w:vAlign w:val="center"/>
          </w:tcPr>
          <w:p>
            <w:pPr>
              <w:spacing w:line="240" w:lineRule="auto"/>
              <w:jc w:val="center"/>
              <w:rPr>
                <w:color w:val="000000"/>
                <w:szCs w:val="21"/>
              </w:rPr>
            </w:pPr>
            <w:r>
              <w:rPr>
                <w:color w:val="00000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1000万元（含）-5000万元</w:t>
            </w:r>
          </w:p>
        </w:tc>
        <w:tc>
          <w:tcPr>
            <w:tcW w:w="1845" w:type="dxa"/>
            <w:vAlign w:val="center"/>
          </w:tcPr>
          <w:p>
            <w:pPr>
              <w:spacing w:line="240" w:lineRule="auto"/>
              <w:jc w:val="center"/>
              <w:rPr>
                <w:color w:val="000000"/>
                <w:szCs w:val="21"/>
              </w:rPr>
            </w:pPr>
            <w:r>
              <w:rPr>
                <w:color w:val="000000"/>
                <w:szCs w:val="21"/>
              </w:rPr>
              <w:t>0.500%</w:t>
            </w:r>
          </w:p>
        </w:tc>
        <w:tc>
          <w:tcPr>
            <w:tcW w:w="1845" w:type="dxa"/>
            <w:vAlign w:val="center"/>
          </w:tcPr>
          <w:p>
            <w:pPr>
              <w:spacing w:line="240" w:lineRule="auto"/>
              <w:jc w:val="center"/>
              <w:rPr>
                <w:color w:val="000000"/>
                <w:szCs w:val="21"/>
              </w:rPr>
            </w:pPr>
            <w:r>
              <w:rPr>
                <w:color w:val="000000"/>
                <w:szCs w:val="21"/>
              </w:rPr>
              <w:t>0.250%</w:t>
            </w:r>
          </w:p>
        </w:tc>
        <w:tc>
          <w:tcPr>
            <w:tcW w:w="1846" w:type="dxa"/>
            <w:vAlign w:val="center"/>
          </w:tcPr>
          <w:p>
            <w:pPr>
              <w:spacing w:line="240" w:lineRule="auto"/>
              <w:jc w:val="center"/>
              <w:rPr>
                <w:color w:val="000000"/>
                <w:szCs w:val="21"/>
              </w:rPr>
            </w:pPr>
            <w:r>
              <w:rPr>
                <w:color w:val="00000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5000万元（含）-1亿元</w:t>
            </w:r>
          </w:p>
        </w:tc>
        <w:tc>
          <w:tcPr>
            <w:tcW w:w="1845" w:type="dxa"/>
            <w:vAlign w:val="center"/>
          </w:tcPr>
          <w:p>
            <w:pPr>
              <w:spacing w:line="240" w:lineRule="auto"/>
              <w:jc w:val="center"/>
              <w:rPr>
                <w:szCs w:val="21"/>
              </w:rPr>
            </w:pPr>
            <w:r>
              <w:rPr>
                <w:szCs w:val="21"/>
              </w:rPr>
              <w:t>0.250%</w:t>
            </w:r>
          </w:p>
        </w:tc>
        <w:tc>
          <w:tcPr>
            <w:tcW w:w="1845" w:type="dxa"/>
            <w:vAlign w:val="center"/>
          </w:tcPr>
          <w:p>
            <w:pPr>
              <w:spacing w:line="240" w:lineRule="auto"/>
              <w:jc w:val="center"/>
              <w:rPr>
                <w:szCs w:val="21"/>
              </w:rPr>
            </w:pPr>
            <w:r>
              <w:rPr>
                <w:szCs w:val="21"/>
              </w:rPr>
              <w:t>0.100%</w:t>
            </w:r>
          </w:p>
        </w:tc>
        <w:tc>
          <w:tcPr>
            <w:tcW w:w="1846" w:type="dxa"/>
            <w:vAlign w:val="center"/>
          </w:tcPr>
          <w:p>
            <w:pPr>
              <w:spacing w:line="240" w:lineRule="auto"/>
              <w:jc w:val="center"/>
              <w:rPr>
                <w:szCs w:val="21"/>
              </w:rPr>
            </w:pPr>
            <w:r>
              <w:rPr>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1亿元（含）-5亿元</w:t>
            </w:r>
          </w:p>
        </w:tc>
        <w:tc>
          <w:tcPr>
            <w:tcW w:w="1845" w:type="dxa"/>
            <w:vAlign w:val="center"/>
          </w:tcPr>
          <w:p>
            <w:pPr>
              <w:spacing w:line="240" w:lineRule="auto"/>
              <w:jc w:val="center"/>
              <w:rPr>
                <w:szCs w:val="21"/>
              </w:rPr>
            </w:pPr>
            <w:r>
              <w:rPr>
                <w:szCs w:val="21"/>
              </w:rPr>
              <w:t>0.050%</w:t>
            </w:r>
          </w:p>
        </w:tc>
        <w:tc>
          <w:tcPr>
            <w:tcW w:w="1845" w:type="dxa"/>
            <w:vAlign w:val="center"/>
          </w:tcPr>
          <w:p>
            <w:pPr>
              <w:spacing w:line="240" w:lineRule="auto"/>
              <w:jc w:val="center"/>
              <w:rPr>
                <w:szCs w:val="21"/>
              </w:rPr>
            </w:pPr>
            <w:r>
              <w:rPr>
                <w:szCs w:val="21"/>
              </w:rPr>
              <w:t>0.050%</w:t>
            </w:r>
          </w:p>
        </w:tc>
        <w:tc>
          <w:tcPr>
            <w:tcW w:w="1846" w:type="dxa"/>
            <w:vAlign w:val="center"/>
          </w:tcPr>
          <w:p>
            <w:pPr>
              <w:spacing w:line="240" w:lineRule="auto"/>
              <w:jc w:val="center"/>
              <w:rPr>
                <w:szCs w:val="21"/>
              </w:rPr>
            </w:pPr>
            <w:r>
              <w:rPr>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5亿元（含）-10亿元</w:t>
            </w:r>
          </w:p>
        </w:tc>
        <w:tc>
          <w:tcPr>
            <w:tcW w:w="1845" w:type="dxa"/>
            <w:vAlign w:val="center"/>
          </w:tcPr>
          <w:p>
            <w:pPr>
              <w:spacing w:line="240" w:lineRule="auto"/>
              <w:jc w:val="center"/>
              <w:rPr>
                <w:szCs w:val="21"/>
              </w:rPr>
            </w:pPr>
            <w:r>
              <w:rPr>
                <w:szCs w:val="21"/>
              </w:rPr>
              <w:t>0.035%</w:t>
            </w:r>
          </w:p>
        </w:tc>
        <w:tc>
          <w:tcPr>
            <w:tcW w:w="1845" w:type="dxa"/>
            <w:vAlign w:val="center"/>
          </w:tcPr>
          <w:p>
            <w:pPr>
              <w:spacing w:line="240" w:lineRule="auto"/>
              <w:jc w:val="center"/>
              <w:rPr>
                <w:szCs w:val="21"/>
              </w:rPr>
            </w:pPr>
            <w:r>
              <w:rPr>
                <w:szCs w:val="21"/>
              </w:rPr>
              <w:t>0.035%</w:t>
            </w:r>
          </w:p>
        </w:tc>
        <w:tc>
          <w:tcPr>
            <w:tcW w:w="1846" w:type="dxa"/>
            <w:vAlign w:val="center"/>
          </w:tcPr>
          <w:p>
            <w:pPr>
              <w:spacing w:line="240" w:lineRule="auto"/>
              <w:jc w:val="center"/>
              <w:rPr>
                <w:szCs w:val="21"/>
              </w:rPr>
            </w:pPr>
            <w:r>
              <w:rPr>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10亿元（含）-50亿元</w:t>
            </w:r>
          </w:p>
        </w:tc>
        <w:tc>
          <w:tcPr>
            <w:tcW w:w="1845" w:type="dxa"/>
            <w:vAlign w:val="center"/>
          </w:tcPr>
          <w:p>
            <w:pPr>
              <w:spacing w:line="240" w:lineRule="auto"/>
              <w:jc w:val="center"/>
              <w:rPr>
                <w:szCs w:val="21"/>
              </w:rPr>
            </w:pPr>
            <w:r>
              <w:rPr>
                <w:szCs w:val="21"/>
              </w:rPr>
              <w:t>0.008%</w:t>
            </w:r>
          </w:p>
        </w:tc>
        <w:tc>
          <w:tcPr>
            <w:tcW w:w="1845" w:type="dxa"/>
            <w:vAlign w:val="center"/>
          </w:tcPr>
          <w:p>
            <w:pPr>
              <w:spacing w:line="240" w:lineRule="auto"/>
              <w:jc w:val="center"/>
              <w:rPr>
                <w:szCs w:val="21"/>
              </w:rPr>
            </w:pPr>
            <w:r>
              <w:rPr>
                <w:szCs w:val="21"/>
              </w:rPr>
              <w:t>0.008%</w:t>
            </w:r>
          </w:p>
        </w:tc>
        <w:tc>
          <w:tcPr>
            <w:tcW w:w="1846" w:type="dxa"/>
            <w:vAlign w:val="center"/>
          </w:tcPr>
          <w:p>
            <w:pPr>
              <w:spacing w:line="240" w:lineRule="auto"/>
              <w:jc w:val="center"/>
              <w:rPr>
                <w:szCs w:val="21"/>
              </w:rPr>
            </w:pPr>
            <w:r>
              <w:rPr>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color w:val="000000"/>
                <w:szCs w:val="21"/>
              </w:rPr>
              <w:t>50亿元（含）-100亿元</w:t>
            </w:r>
          </w:p>
        </w:tc>
        <w:tc>
          <w:tcPr>
            <w:tcW w:w="1845" w:type="dxa"/>
            <w:vAlign w:val="center"/>
          </w:tcPr>
          <w:p>
            <w:pPr>
              <w:spacing w:line="240" w:lineRule="auto"/>
              <w:jc w:val="center"/>
              <w:rPr>
                <w:szCs w:val="21"/>
              </w:rPr>
            </w:pPr>
            <w:r>
              <w:rPr>
                <w:szCs w:val="21"/>
              </w:rPr>
              <w:t>0.006%</w:t>
            </w:r>
          </w:p>
        </w:tc>
        <w:tc>
          <w:tcPr>
            <w:tcW w:w="1845" w:type="dxa"/>
            <w:vAlign w:val="center"/>
          </w:tcPr>
          <w:p>
            <w:pPr>
              <w:spacing w:line="240" w:lineRule="auto"/>
              <w:jc w:val="center"/>
              <w:rPr>
                <w:szCs w:val="21"/>
              </w:rPr>
            </w:pPr>
            <w:r>
              <w:rPr>
                <w:szCs w:val="21"/>
              </w:rPr>
              <w:t>0.006%</w:t>
            </w:r>
          </w:p>
        </w:tc>
        <w:tc>
          <w:tcPr>
            <w:tcW w:w="1846" w:type="dxa"/>
            <w:vAlign w:val="center"/>
          </w:tcPr>
          <w:p>
            <w:pPr>
              <w:spacing w:line="240" w:lineRule="auto"/>
              <w:jc w:val="center"/>
              <w:rPr>
                <w:szCs w:val="21"/>
              </w:rPr>
            </w:pPr>
            <w:r>
              <w:rPr>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color w:val="000000"/>
                <w:szCs w:val="21"/>
              </w:rPr>
            </w:pPr>
            <w:r>
              <w:rPr>
                <w:rFonts w:hint="eastAsia"/>
                <w:color w:val="000000"/>
                <w:sz w:val="22"/>
                <w:szCs w:val="22"/>
              </w:rPr>
              <w:t>100亿元（含）以上</w:t>
            </w:r>
          </w:p>
        </w:tc>
        <w:tc>
          <w:tcPr>
            <w:tcW w:w="1845" w:type="dxa"/>
            <w:vAlign w:val="center"/>
          </w:tcPr>
          <w:p>
            <w:pPr>
              <w:spacing w:line="240" w:lineRule="auto"/>
              <w:jc w:val="center"/>
              <w:rPr>
                <w:szCs w:val="21"/>
              </w:rPr>
            </w:pPr>
            <w:r>
              <w:rPr>
                <w:rFonts w:hint="eastAsia"/>
                <w:sz w:val="22"/>
                <w:szCs w:val="22"/>
              </w:rPr>
              <w:t>0.004%</w:t>
            </w:r>
          </w:p>
        </w:tc>
        <w:tc>
          <w:tcPr>
            <w:tcW w:w="1845" w:type="dxa"/>
            <w:vAlign w:val="center"/>
          </w:tcPr>
          <w:p>
            <w:pPr>
              <w:spacing w:line="240" w:lineRule="auto"/>
              <w:jc w:val="center"/>
              <w:rPr>
                <w:szCs w:val="21"/>
              </w:rPr>
            </w:pPr>
            <w:r>
              <w:rPr>
                <w:rFonts w:hint="eastAsia"/>
                <w:sz w:val="22"/>
                <w:szCs w:val="22"/>
              </w:rPr>
              <w:t>0.004%</w:t>
            </w:r>
          </w:p>
        </w:tc>
        <w:tc>
          <w:tcPr>
            <w:tcW w:w="1846" w:type="dxa"/>
            <w:vAlign w:val="center"/>
          </w:tcPr>
          <w:p>
            <w:pPr>
              <w:spacing w:line="240" w:lineRule="auto"/>
              <w:jc w:val="center"/>
              <w:rPr>
                <w:szCs w:val="21"/>
              </w:rPr>
            </w:pPr>
            <w:r>
              <w:rPr>
                <w:rFonts w:hint="eastAsia"/>
                <w:sz w:val="22"/>
                <w:szCs w:val="22"/>
              </w:rPr>
              <w:t>0.004%</w:t>
            </w:r>
          </w:p>
        </w:tc>
      </w:tr>
    </w:tbl>
    <w:p>
      <w:pPr>
        <w:tabs>
          <w:tab w:val="clear" w:pos="426"/>
        </w:tabs>
        <w:spacing w:line="300" w:lineRule="auto"/>
        <w:ind w:left="424" w:leftChars="202"/>
        <w:rPr>
          <w:szCs w:val="21"/>
        </w:rPr>
      </w:pPr>
      <w:r>
        <w:rPr>
          <w:rFonts w:hint="eastAsia"/>
          <w:szCs w:val="21"/>
        </w:rPr>
        <w:t>以某服务类项目谈判为例：</w:t>
      </w:r>
    </w:p>
    <w:p>
      <w:pPr>
        <w:tabs>
          <w:tab w:val="clear" w:pos="426"/>
        </w:tabs>
        <w:spacing w:line="300" w:lineRule="auto"/>
        <w:ind w:left="424" w:leftChars="202"/>
        <w:rPr>
          <w:szCs w:val="21"/>
        </w:rPr>
      </w:pPr>
      <w:r>
        <w:rPr>
          <w:rFonts w:hint="eastAsia"/>
          <w:szCs w:val="21"/>
        </w:rPr>
        <w:t>假设其计算基准价</w:t>
      </w:r>
      <w:r>
        <w:rPr>
          <w:szCs w:val="21"/>
        </w:rPr>
        <w:t>为5000万元，则谈判代理</w:t>
      </w:r>
      <w:r>
        <w:rPr>
          <w:rFonts w:hint="eastAsia"/>
          <w:szCs w:val="21"/>
        </w:rPr>
        <w:t>服务</w:t>
      </w:r>
      <w:r>
        <w:rPr>
          <w:szCs w:val="21"/>
        </w:rPr>
        <w:t>费计算为：</w:t>
      </w:r>
    </w:p>
    <w:p>
      <w:pPr>
        <w:tabs>
          <w:tab w:val="clear" w:pos="426"/>
        </w:tabs>
        <w:spacing w:line="300" w:lineRule="auto"/>
        <w:ind w:left="424" w:leftChars="202"/>
        <w:rPr>
          <w:szCs w:val="21"/>
        </w:rPr>
      </w:pPr>
      <w:r>
        <w:rPr>
          <w:szCs w:val="21"/>
        </w:rPr>
        <w:t>100万元×1.5%=1.5万元</w:t>
      </w:r>
    </w:p>
    <w:p>
      <w:pPr>
        <w:tabs>
          <w:tab w:val="clear" w:pos="426"/>
        </w:tabs>
        <w:spacing w:line="300" w:lineRule="auto"/>
        <w:ind w:left="424" w:leftChars="202"/>
        <w:rPr>
          <w:szCs w:val="21"/>
        </w:rPr>
      </w:pPr>
      <w:r>
        <w:rPr>
          <w:rFonts w:hint="eastAsia"/>
          <w:szCs w:val="21"/>
        </w:rPr>
        <w:t>（</w:t>
      </w:r>
      <w:r>
        <w:rPr>
          <w:szCs w:val="21"/>
        </w:rPr>
        <w:t>500-100）万元×0.8%=3.2</w:t>
      </w:r>
      <w:r>
        <w:rPr>
          <w:rFonts w:hint="eastAsia"/>
          <w:szCs w:val="21"/>
        </w:rPr>
        <w:t>万元</w:t>
      </w:r>
      <w:r>
        <w:rPr>
          <w:szCs w:val="21"/>
        </w:rPr>
        <w:t xml:space="preserve"> </w:t>
      </w:r>
    </w:p>
    <w:p>
      <w:pPr>
        <w:tabs>
          <w:tab w:val="clear" w:pos="426"/>
        </w:tabs>
        <w:spacing w:line="300" w:lineRule="auto"/>
        <w:ind w:left="424" w:leftChars="202"/>
        <w:rPr>
          <w:szCs w:val="21"/>
        </w:rPr>
      </w:pPr>
      <w:r>
        <w:rPr>
          <w:rFonts w:hint="eastAsia"/>
          <w:szCs w:val="21"/>
        </w:rPr>
        <w:t>（</w:t>
      </w:r>
      <w:r>
        <w:rPr>
          <w:szCs w:val="21"/>
        </w:rPr>
        <w:t>1000-500）万元×0.45%=2.25</w:t>
      </w:r>
      <w:r>
        <w:rPr>
          <w:rFonts w:hint="eastAsia"/>
          <w:szCs w:val="21"/>
        </w:rPr>
        <w:t>万元</w:t>
      </w:r>
      <w:r>
        <w:rPr>
          <w:szCs w:val="21"/>
        </w:rPr>
        <w:t xml:space="preserve"> </w:t>
      </w:r>
    </w:p>
    <w:p>
      <w:pPr>
        <w:tabs>
          <w:tab w:val="clear" w:pos="426"/>
        </w:tabs>
        <w:spacing w:line="300" w:lineRule="auto"/>
        <w:ind w:left="424" w:leftChars="202"/>
        <w:rPr>
          <w:szCs w:val="21"/>
        </w:rPr>
      </w:pPr>
      <w:r>
        <w:rPr>
          <w:rFonts w:hint="eastAsia"/>
          <w:szCs w:val="21"/>
        </w:rPr>
        <w:t>（</w:t>
      </w:r>
      <w:r>
        <w:rPr>
          <w:szCs w:val="21"/>
        </w:rPr>
        <w:t>5000-1000）万元×0.25%=10万元</w:t>
      </w:r>
    </w:p>
    <w:p>
      <w:pPr>
        <w:tabs>
          <w:tab w:val="clear" w:pos="426"/>
        </w:tabs>
        <w:spacing w:line="300" w:lineRule="auto"/>
        <w:ind w:left="424" w:leftChars="202"/>
        <w:rPr>
          <w:szCs w:val="21"/>
        </w:rPr>
      </w:pPr>
      <w:r>
        <w:rPr>
          <w:rFonts w:hint="eastAsia"/>
          <w:szCs w:val="21"/>
        </w:rPr>
        <w:t>因此，该项目谈判代理服务费为：</w:t>
      </w:r>
      <w:r>
        <w:rPr>
          <w:szCs w:val="21"/>
        </w:rPr>
        <w:t>1.5+3.2+2.25+10= 16.95</w:t>
      </w:r>
      <w:r>
        <w:rPr>
          <w:rFonts w:hint="eastAsia"/>
          <w:szCs w:val="21"/>
        </w:rPr>
        <w:t>万元。</w:t>
      </w:r>
    </w:p>
    <w:p>
      <w:pPr>
        <w:tabs>
          <w:tab w:val="clear" w:pos="426"/>
        </w:tabs>
        <w:rPr>
          <w:szCs w:val="21"/>
        </w:rPr>
      </w:pPr>
    </w:p>
    <w:p/>
    <w:p>
      <w:pPr>
        <w:shd w:val="clear" w:color="auto" w:fill="auto"/>
        <w:tabs>
          <w:tab w:val="clear" w:pos="426"/>
        </w:tabs>
        <w:spacing w:line="240" w:lineRule="auto"/>
        <w:ind w:left="181" w:leftChars="86"/>
        <w:jc w:val="left"/>
      </w:pPr>
      <w:r>
        <w:br w:type="page"/>
      </w:r>
    </w:p>
    <w:bookmarkEnd w:id="7"/>
    <w:bookmarkEnd w:id="8"/>
    <w:p>
      <w:pPr>
        <w:pStyle w:val="309"/>
        <w:pageBreakBefore/>
      </w:pPr>
      <w:bookmarkStart w:id="9" w:name="_Toc432592813"/>
      <w:bookmarkStart w:id="10" w:name="_Toc265483798"/>
      <w:bookmarkStart w:id="11" w:name="_Toc96519537"/>
      <w:r>
        <w:rPr>
          <w:rFonts w:hint="eastAsia"/>
        </w:rPr>
        <w:t xml:space="preserve">第一章 </w:t>
      </w:r>
      <w:bookmarkEnd w:id="9"/>
      <w:bookmarkEnd w:id="10"/>
      <w:r>
        <w:rPr>
          <w:rFonts w:hint="eastAsia"/>
        </w:rPr>
        <w:t>单一来源采购公告</w:t>
      </w:r>
      <w:bookmarkEnd w:id="11"/>
    </w:p>
    <w:p>
      <w:pPr>
        <w:tabs>
          <w:tab w:val="clear" w:pos="426"/>
        </w:tabs>
        <w:spacing w:line="240" w:lineRule="auto"/>
        <w:rPr>
          <w:b/>
        </w:rPr>
      </w:pPr>
      <w:bookmarkStart w:id="12" w:name="_Toc432592814"/>
    </w:p>
    <w:tbl>
      <w:tblPr>
        <w:tblStyle w:val="3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pPr>
              <w:widowControl w:val="0"/>
              <w:shd w:val="clear" w:color="auto" w:fill="auto"/>
              <w:tabs>
                <w:tab w:val="clear" w:pos="426"/>
              </w:tabs>
              <w:spacing w:line="300" w:lineRule="auto"/>
              <w:ind w:firstLine="400" w:firstLineChars="200"/>
              <w:rPr>
                <w:rFonts w:cs="Times New Roman"/>
                <w:sz w:val="20"/>
                <w:szCs w:val="21"/>
              </w:rPr>
            </w:pPr>
            <w:r>
              <w:rPr>
                <w:rFonts w:hint="eastAsia" w:cs="Times New Roman"/>
                <w:sz w:val="20"/>
                <w:szCs w:val="21"/>
              </w:rPr>
              <w:t>项目概况</w:t>
            </w:r>
          </w:p>
          <w:p>
            <w:pPr>
              <w:widowControl w:val="0"/>
              <w:pBdr>
                <w:top w:val="single" w:color="auto" w:sz="4" w:space="1"/>
                <w:left w:val="single" w:color="auto" w:sz="4" w:space="4"/>
                <w:bottom w:val="single" w:color="auto" w:sz="4" w:space="1"/>
                <w:right w:val="single" w:color="auto" w:sz="4" w:space="4"/>
              </w:pBdr>
              <w:spacing w:line="276" w:lineRule="auto"/>
              <w:ind w:firstLine="400" w:firstLineChars="200"/>
              <w:jc w:val="left"/>
              <w:rPr>
                <w:sz w:val="20"/>
              </w:rPr>
            </w:pPr>
            <w:r>
              <w:rPr>
                <w:rFonts w:hint="eastAsia"/>
                <w:sz w:val="20"/>
                <w:szCs w:val="21"/>
              </w:rPr>
              <w:t>第一届民谣音乐节暨水木年华系列演出活动的潜在谈判应答人应前往采购代理机构处获取采购文件，并于2022年04月11日14：3</w:t>
            </w:r>
            <w:r>
              <w:rPr>
                <w:rFonts w:hint="eastAsia"/>
                <w:bCs/>
                <w:sz w:val="20"/>
                <w:szCs w:val="21"/>
              </w:rPr>
              <w:t>0分（北京时间）前递交谈判应答</w:t>
            </w:r>
            <w:r>
              <w:rPr>
                <w:bCs/>
                <w:sz w:val="20"/>
                <w:szCs w:val="21"/>
              </w:rPr>
              <w:t>文件</w:t>
            </w:r>
            <w:r>
              <w:rPr>
                <w:rFonts w:hint="eastAsia"/>
                <w:sz w:val="20"/>
                <w:szCs w:val="21"/>
              </w:rPr>
              <w:t>。</w:t>
            </w:r>
          </w:p>
        </w:tc>
      </w:tr>
    </w:tbl>
    <w:p>
      <w:pPr>
        <w:tabs>
          <w:tab w:val="clear" w:pos="426"/>
        </w:tabs>
        <w:spacing w:line="240" w:lineRule="auto"/>
        <w:rPr>
          <w:b/>
        </w:rPr>
      </w:pPr>
    </w:p>
    <w:p>
      <w:pPr>
        <w:tabs>
          <w:tab w:val="clear" w:pos="426"/>
        </w:tabs>
        <w:spacing w:line="240" w:lineRule="auto"/>
        <w:rPr>
          <w:b/>
        </w:rPr>
      </w:pPr>
      <w:r>
        <w:rPr>
          <w:rFonts w:hint="eastAsia"/>
          <w:b/>
        </w:rPr>
        <w:t>一、项目基本情况</w:t>
      </w:r>
    </w:p>
    <w:p>
      <w:pPr>
        <w:widowControl w:val="0"/>
        <w:numPr>
          <w:ilvl w:val="0"/>
          <w:numId w:val="26"/>
        </w:numPr>
        <w:shd w:val="clear" w:color="auto" w:fill="auto"/>
        <w:tabs>
          <w:tab w:val="clear" w:pos="426"/>
        </w:tabs>
        <w:spacing w:line="300" w:lineRule="auto"/>
        <w:rPr>
          <w:rFonts w:cs="Times New Roman"/>
          <w:kern w:val="2"/>
          <w:szCs w:val="21"/>
        </w:rPr>
      </w:pPr>
      <w:bookmarkStart w:id="13" w:name="项目概况2"/>
      <w:r>
        <w:rPr>
          <w:rFonts w:hint="eastAsia" w:cs="Times New Roman"/>
          <w:kern w:val="2"/>
          <w:szCs w:val="21"/>
        </w:rPr>
        <w:t>采购项目编号：</w:t>
      </w:r>
      <w:r>
        <w:rPr>
          <w:rFonts w:cs="Times New Roman"/>
          <w:kern w:val="2"/>
          <w:szCs w:val="21"/>
        </w:rPr>
        <w:t>XRZB202204001</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项目名称：第一届民谣音乐节暨水木年华系列演出活动</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预算金额：</w:t>
      </w:r>
      <w:r>
        <w:rPr>
          <w:szCs w:val="21"/>
        </w:rPr>
        <w:t>1</w:t>
      </w:r>
      <w:r>
        <w:rPr>
          <w:rFonts w:hint="eastAsia"/>
          <w:szCs w:val="21"/>
        </w:rPr>
        <w:t>,50</w:t>
      </w:r>
      <w:r>
        <w:rPr>
          <w:szCs w:val="21"/>
        </w:rPr>
        <w:t>0</w:t>
      </w:r>
      <w:r>
        <w:rPr>
          <w:rFonts w:hint="eastAsia"/>
          <w:szCs w:val="21"/>
        </w:rPr>
        <w:t>,</w:t>
      </w:r>
      <w:r>
        <w:rPr>
          <w:szCs w:val="21"/>
        </w:rPr>
        <w:t>000</w:t>
      </w:r>
      <w:r>
        <w:rPr>
          <w:rFonts w:hint="eastAsia"/>
          <w:szCs w:val="21"/>
        </w:rPr>
        <w:t>.00元/年</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采购需求：</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708"/>
        <w:gridCol w:w="710"/>
        <w:gridCol w:w="212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74" w:type="pct"/>
            <w:shd w:val="clear" w:color="auto" w:fill="auto"/>
            <w:vAlign w:val="center"/>
          </w:tcPr>
          <w:p>
            <w:pPr>
              <w:widowControl w:val="0"/>
              <w:shd w:val="clear" w:color="auto" w:fill="auto"/>
              <w:tabs>
                <w:tab w:val="clear" w:pos="426"/>
              </w:tabs>
              <w:spacing w:line="240" w:lineRule="auto"/>
              <w:jc w:val="center"/>
              <w:rPr>
                <w:rFonts w:cs="Times New Roman"/>
                <w:b/>
                <w:bCs/>
                <w:szCs w:val="21"/>
              </w:rPr>
            </w:pPr>
            <w:r>
              <w:rPr>
                <w:rFonts w:hint="eastAsia" w:cs="Times New Roman"/>
                <w:b/>
                <w:bCs/>
                <w:szCs w:val="21"/>
              </w:rPr>
              <w:t>标的</w:t>
            </w:r>
            <w:r>
              <w:rPr>
                <w:rFonts w:cs="Times New Roman"/>
                <w:b/>
                <w:bCs/>
                <w:szCs w:val="21"/>
              </w:rPr>
              <w:t>名称</w:t>
            </w:r>
          </w:p>
        </w:tc>
        <w:tc>
          <w:tcPr>
            <w:tcW w:w="415" w:type="pct"/>
            <w:shd w:val="clear" w:color="auto" w:fill="auto"/>
            <w:vAlign w:val="center"/>
          </w:tcPr>
          <w:p>
            <w:pPr>
              <w:widowControl w:val="0"/>
              <w:shd w:val="clear" w:color="auto" w:fill="auto"/>
              <w:tabs>
                <w:tab w:val="clear" w:pos="426"/>
              </w:tabs>
              <w:spacing w:line="240" w:lineRule="auto"/>
              <w:jc w:val="center"/>
              <w:rPr>
                <w:rFonts w:cs="Times New Roman"/>
                <w:b/>
                <w:bCs/>
                <w:szCs w:val="21"/>
              </w:rPr>
            </w:pPr>
            <w:r>
              <w:rPr>
                <w:rFonts w:cs="Times New Roman"/>
                <w:b/>
                <w:bCs/>
                <w:szCs w:val="21"/>
              </w:rPr>
              <w:t>数量</w:t>
            </w:r>
          </w:p>
        </w:tc>
        <w:tc>
          <w:tcPr>
            <w:tcW w:w="416" w:type="pct"/>
            <w:shd w:val="clear" w:color="auto" w:fill="auto"/>
            <w:vAlign w:val="center"/>
          </w:tcPr>
          <w:p>
            <w:pPr>
              <w:widowControl w:val="0"/>
              <w:shd w:val="clear" w:color="auto" w:fill="auto"/>
              <w:tabs>
                <w:tab w:val="clear" w:pos="426"/>
              </w:tabs>
              <w:spacing w:line="240" w:lineRule="auto"/>
              <w:jc w:val="center"/>
              <w:rPr>
                <w:rFonts w:cs="Times New Roman"/>
                <w:b/>
                <w:bCs/>
                <w:szCs w:val="21"/>
              </w:rPr>
            </w:pPr>
            <w:r>
              <w:rPr>
                <w:rFonts w:cs="Times New Roman"/>
                <w:b/>
                <w:bCs/>
                <w:szCs w:val="21"/>
              </w:rPr>
              <w:t>单位</w:t>
            </w:r>
          </w:p>
        </w:tc>
        <w:tc>
          <w:tcPr>
            <w:tcW w:w="1246" w:type="pct"/>
            <w:shd w:val="clear" w:color="auto" w:fill="auto"/>
            <w:vAlign w:val="center"/>
          </w:tcPr>
          <w:p>
            <w:pPr>
              <w:widowControl w:val="0"/>
              <w:shd w:val="clear" w:color="auto" w:fill="auto"/>
              <w:tabs>
                <w:tab w:val="clear" w:pos="426"/>
              </w:tabs>
              <w:spacing w:line="240" w:lineRule="auto"/>
              <w:jc w:val="center"/>
              <w:rPr>
                <w:rFonts w:cs="Times New Roman"/>
                <w:b/>
                <w:bCs/>
                <w:szCs w:val="21"/>
              </w:rPr>
            </w:pPr>
            <w:r>
              <w:rPr>
                <w:rFonts w:hint="eastAsia" w:cs="Times New Roman"/>
                <w:b/>
                <w:bCs/>
                <w:szCs w:val="21"/>
              </w:rPr>
              <w:t>简要服务需求</w:t>
            </w:r>
          </w:p>
        </w:tc>
        <w:tc>
          <w:tcPr>
            <w:tcW w:w="449" w:type="pct"/>
            <w:vAlign w:val="center"/>
          </w:tcPr>
          <w:p>
            <w:pPr>
              <w:widowControl w:val="0"/>
              <w:shd w:val="clear" w:color="auto" w:fill="auto"/>
              <w:tabs>
                <w:tab w:val="clear" w:pos="426"/>
              </w:tabs>
              <w:spacing w:line="240" w:lineRule="auto"/>
              <w:jc w:val="center"/>
              <w:rPr>
                <w:rFonts w:cs="Times New Roman"/>
                <w:b/>
                <w:bCs/>
                <w:szCs w:val="21"/>
              </w:rPr>
            </w:pPr>
            <w:r>
              <w:rPr>
                <w:rFonts w:hint="eastAsia"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74" w:type="pct"/>
            <w:shd w:val="clear" w:color="auto" w:fill="auto"/>
            <w:vAlign w:val="center"/>
          </w:tcPr>
          <w:p>
            <w:pPr>
              <w:spacing w:line="240" w:lineRule="auto"/>
              <w:jc w:val="center"/>
              <w:rPr>
                <w:bCs/>
                <w:szCs w:val="21"/>
              </w:rPr>
            </w:pPr>
            <w:r>
              <w:rPr>
                <w:rFonts w:hint="eastAsia"/>
                <w:szCs w:val="21"/>
              </w:rPr>
              <w:t>第一届民谣音乐节暨水木年华系列演出活动</w:t>
            </w:r>
          </w:p>
        </w:tc>
        <w:tc>
          <w:tcPr>
            <w:tcW w:w="415" w:type="pct"/>
            <w:shd w:val="clear" w:color="auto" w:fill="auto"/>
            <w:vAlign w:val="center"/>
          </w:tcPr>
          <w:p>
            <w:pPr>
              <w:spacing w:line="240" w:lineRule="auto"/>
              <w:jc w:val="center"/>
              <w:rPr>
                <w:bCs/>
                <w:szCs w:val="21"/>
                <w:highlight w:val="yellow"/>
              </w:rPr>
            </w:pPr>
            <w:r>
              <w:rPr>
                <w:szCs w:val="21"/>
              </w:rPr>
              <w:t>1.0</w:t>
            </w:r>
          </w:p>
        </w:tc>
        <w:tc>
          <w:tcPr>
            <w:tcW w:w="416" w:type="pct"/>
            <w:shd w:val="clear" w:color="auto" w:fill="auto"/>
            <w:vAlign w:val="center"/>
          </w:tcPr>
          <w:p>
            <w:pPr>
              <w:spacing w:line="240" w:lineRule="auto"/>
              <w:jc w:val="center"/>
              <w:rPr>
                <w:bCs/>
                <w:szCs w:val="21"/>
                <w:highlight w:val="yellow"/>
              </w:rPr>
            </w:pPr>
            <w:r>
              <w:rPr>
                <w:szCs w:val="21"/>
              </w:rPr>
              <w:t>项</w:t>
            </w:r>
          </w:p>
        </w:tc>
        <w:tc>
          <w:tcPr>
            <w:tcW w:w="1246" w:type="pct"/>
            <w:shd w:val="clear" w:color="auto" w:fill="auto"/>
            <w:vAlign w:val="center"/>
          </w:tcPr>
          <w:p>
            <w:pPr>
              <w:widowControl w:val="0"/>
              <w:shd w:val="clear" w:color="auto" w:fill="auto"/>
              <w:tabs>
                <w:tab w:val="clear" w:pos="426"/>
              </w:tabs>
              <w:spacing w:line="240" w:lineRule="auto"/>
              <w:jc w:val="center"/>
              <w:rPr>
                <w:rFonts w:cs="Times New Roman"/>
                <w:szCs w:val="21"/>
                <w:highlight w:val="yellow"/>
              </w:rPr>
            </w:pPr>
            <w:r>
              <w:rPr>
                <w:szCs w:val="21"/>
              </w:rPr>
              <w:t>详见采购文件</w:t>
            </w:r>
          </w:p>
        </w:tc>
        <w:tc>
          <w:tcPr>
            <w:tcW w:w="449" w:type="pct"/>
            <w:vAlign w:val="center"/>
          </w:tcPr>
          <w:p>
            <w:pPr>
              <w:widowControl w:val="0"/>
              <w:shd w:val="clear" w:color="auto" w:fill="auto"/>
              <w:tabs>
                <w:tab w:val="clear" w:pos="426"/>
              </w:tabs>
              <w:spacing w:line="240" w:lineRule="auto"/>
              <w:jc w:val="center"/>
              <w:rPr>
                <w:bCs/>
                <w:szCs w:val="21"/>
              </w:rPr>
            </w:pPr>
          </w:p>
        </w:tc>
      </w:tr>
    </w:tbl>
    <w:p>
      <w:pPr>
        <w:widowControl w:val="0"/>
        <w:numPr>
          <w:ilvl w:val="0"/>
          <w:numId w:val="26"/>
        </w:numPr>
        <w:shd w:val="clear" w:color="auto" w:fill="auto"/>
        <w:tabs>
          <w:tab w:val="clear" w:pos="426"/>
        </w:tabs>
        <w:spacing w:line="300" w:lineRule="auto"/>
        <w:rPr>
          <w:rFonts w:hint="eastAsia" w:cs="Times New Roman"/>
          <w:kern w:val="2"/>
          <w:szCs w:val="21"/>
        </w:rPr>
      </w:pPr>
      <w:r>
        <w:rPr>
          <w:rFonts w:hint="eastAsia" w:cs="Times New Roman"/>
          <w:kern w:val="2"/>
          <w:szCs w:val="21"/>
        </w:rPr>
        <w:t>合同履行期限：</w:t>
      </w:r>
      <w:bookmarkEnd w:id="13"/>
      <w:r>
        <w:rPr>
          <w:rFonts w:hint="eastAsia" w:cs="Times New Roman"/>
          <w:kern w:val="2"/>
          <w:szCs w:val="21"/>
        </w:rPr>
        <w:t>本项目服务期限根据采购人要求执行。</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本项目不接受联合体参与谈判。</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资金来源：财政资金</w:t>
      </w:r>
      <w:r>
        <w:rPr>
          <w:rFonts w:cs="Times New Roman"/>
          <w:kern w:val="2"/>
          <w:szCs w:val="21"/>
          <w:u w:val="single"/>
        </w:rPr>
        <w:t>_100_</w:t>
      </w:r>
      <w:r>
        <w:rPr>
          <w:rFonts w:cs="Times New Roman"/>
          <w:kern w:val="2"/>
          <w:szCs w:val="21"/>
        </w:rPr>
        <w:t>_%</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项目地点：深圳市龙华区</w:t>
      </w:r>
    </w:p>
    <w:p>
      <w:pPr>
        <w:widowControl w:val="0"/>
        <w:numPr>
          <w:ilvl w:val="0"/>
          <w:numId w:val="26"/>
        </w:numPr>
        <w:shd w:val="clear" w:color="auto" w:fill="auto"/>
        <w:tabs>
          <w:tab w:val="clear" w:pos="426"/>
        </w:tabs>
        <w:spacing w:line="300" w:lineRule="auto"/>
        <w:rPr>
          <w:rFonts w:cs="Times New Roman"/>
          <w:kern w:val="2"/>
          <w:szCs w:val="21"/>
        </w:rPr>
      </w:pPr>
      <w:r>
        <w:rPr>
          <w:rFonts w:hint="eastAsia" w:cs="Times New Roman"/>
          <w:kern w:val="2"/>
          <w:szCs w:val="21"/>
        </w:rPr>
        <w:t>采购方式：单一来源采购</w:t>
      </w:r>
    </w:p>
    <w:p>
      <w:pPr>
        <w:tabs>
          <w:tab w:val="clear" w:pos="426"/>
        </w:tabs>
        <w:ind w:firstLine="424" w:firstLineChars="202"/>
      </w:pPr>
      <w:r>
        <w:rPr>
          <w:rFonts w:hint="eastAsia"/>
        </w:rPr>
        <w:t>10.评标方法：最低价法。</w:t>
      </w:r>
    </w:p>
    <w:p>
      <w:pPr>
        <w:widowControl w:val="0"/>
        <w:shd w:val="clear" w:color="auto" w:fill="auto"/>
        <w:tabs>
          <w:tab w:val="clear" w:pos="426"/>
        </w:tabs>
        <w:spacing w:line="240" w:lineRule="auto"/>
        <w:rPr>
          <w:rFonts w:cs="Times New Roman"/>
          <w:b/>
          <w:kern w:val="2"/>
          <w:szCs w:val="21"/>
        </w:rPr>
      </w:pPr>
      <w:r>
        <w:rPr>
          <w:rFonts w:hint="eastAsia" w:cs="Times New Roman"/>
          <w:b/>
          <w:kern w:val="2"/>
          <w:szCs w:val="21"/>
        </w:rPr>
        <w:t>二、申请人的资格要求</w:t>
      </w:r>
    </w:p>
    <w:p>
      <w:pPr>
        <w:tabs>
          <w:tab w:val="clear" w:pos="426"/>
        </w:tabs>
        <w:spacing w:line="240" w:lineRule="auto"/>
        <w:ind w:firstLine="424" w:firstLineChars="202"/>
      </w:pPr>
      <w:r>
        <w:rPr>
          <w:rFonts w:hint="eastAsia"/>
        </w:rPr>
        <w:t>1.参与本项目谈判前三年内，在经营活动中没有重大违法记录（由供应商在《政府采购谈判应答及履约承诺函》中作出声明）。</w:t>
      </w:r>
    </w:p>
    <w:p>
      <w:pPr>
        <w:tabs>
          <w:tab w:val="clear" w:pos="426"/>
        </w:tabs>
        <w:spacing w:line="240" w:lineRule="auto"/>
        <w:ind w:firstLine="424" w:firstLineChars="202"/>
      </w:pPr>
      <w:r>
        <w:rPr>
          <w:rFonts w:hint="eastAsia"/>
        </w:rPr>
        <w:t>2.参与本项目政府采购活动时不存在被有关部门禁止参与政府采购活动且在有效期内的情况（由供应商在《政府采购谈判应答及履约承诺函》中作出声明）。</w:t>
      </w:r>
    </w:p>
    <w:p>
      <w:pPr>
        <w:tabs>
          <w:tab w:val="clear" w:pos="426"/>
        </w:tabs>
        <w:spacing w:line="240" w:lineRule="auto"/>
        <w:ind w:firstLine="424" w:firstLineChars="202"/>
      </w:pPr>
      <w:r>
        <w:rPr>
          <w:rFonts w:hint="eastAsia"/>
        </w:rPr>
        <w:t>3.参与本项目的供应商具备《中华人民共和国政府采购法》第二十二条规定的资质（由供应商在《政府采购谈判应答及履约承诺函》中作出声明）。</w:t>
      </w:r>
    </w:p>
    <w:p>
      <w:pPr>
        <w:tabs>
          <w:tab w:val="clear" w:pos="426"/>
        </w:tabs>
        <w:spacing w:line="240" w:lineRule="auto"/>
        <w:ind w:firstLine="424" w:firstLineChars="202"/>
      </w:pPr>
      <w:r>
        <w:rPr>
          <w:rFonts w:hint="eastAsia"/>
        </w:rPr>
        <w:t>4.参与政府采购项目的供应商未被列入失信被执行人、重大税收违法案件当事人名单、政府采购严重违法失信行为记录名单（由供应商在《政府采购谈判应答及履约承诺函》中作出声明）。</w:t>
      </w:r>
    </w:p>
    <w:p>
      <w:pPr>
        <w:tabs>
          <w:tab w:val="clear" w:pos="426"/>
        </w:tabs>
        <w:spacing w:line="240" w:lineRule="auto"/>
        <w:ind w:firstLine="424" w:firstLineChars="202"/>
      </w:pPr>
      <w:r>
        <w:t>5..落实政府采购政策需满足的资格要求：不属于专门面向中小企业采购的项目</w:t>
      </w:r>
      <w:r>
        <w:rPr>
          <w:rFonts w:hint="eastAsia"/>
        </w:rPr>
        <w:t>。</w:t>
      </w:r>
    </w:p>
    <w:p>
      <w:pPr>
        <w:tabs>
          <w:tab w:val="clear" w:pos="426"/>
        </w:tabs>
        <w:spacing w:line="240" w:lineRule="auto"/>
        <w:ind w:firstLine="424" w:firstLineChars="202"/>
      </w:pPr>
      <w:r>
        <w:t>6.</w:t>
      </w:r>
      <w:r>
        <w:rPr>
          <w:rFonts w:hint="eastAsia"/>
        </w:rPr>
        <w:t>本项目的特定资格要求：</w:t>
      </w:r>
    </w:p>
    <w:p>
      <w:pPr>
        <w:tabs>
          <w:tab w:val="clear" w:pos="426"/>
        </w:tabs>
        <w:spacing w:line="240" w:lineRule="auto"/>
        <w:ind w:firstLine="424" w:firstLineChars="202"/>
      </w:pPr>
      <w:r>
        <w:rPr>
          <w:rFonts w:hint="eastAsia"/>
        </w:rPr>
        <w:t>（1）必须是采购人推荐的供应商，邀请供应商为北京家乡来客文化科技有限公司；</w:t>
      </w:r>
    </w:p>
    <w:p>
      <w:pPr>
        <w:tabs>
          <w:tab w:val="clear" w:pos="426"/>
        </w:tabs>
        <w:spacing w:line="240" w:lineRule="auto"/>
        <w:ind w:firstLine="424" w:firstLineChars="202"/>
      </w:pPr>
      <w:r>
        <w:rPr>
          <w:rFonts w:hint="eastAsia"/>
        </w:rPr>
        <w:t>（2）应答人须具有独立法人资格（证明文件：须提供营业执照或法人证书或其他证明文件的复印件并加盖应答人公章，原件成交备查）；其中会计、法律、造价咨询、保险、银行、电信等项目允许分支机构应答，但必须由总公司提供授权。</w:t>
      </w:r>
    </w:p>
    <w:p>
      <w:pPr>
        <w:tabs>
          <w:tab w:val="clear" w:pos="426"/>
        </w:tabs>
        <w:spacing w:line="240" w:lineRule="auto"/>
        <w:ind w:firstLine="424" w:firstLineChars="202"/>
      </w:pPr>
      <w:r>
        <w:rPr>
          <w:rFonts w:hint="eastAsia"/>
        </w:rPr>
        <w:t>（3）</w:t>
      </w:r>
      <w:r>
        <w:rPr>
          <w:rFonts w:hint="eastAsia" w:ascii="Times New Roman" w:hAnsi="Times New Roman" w:cs="Times New Roman"/>
          <w:kern w:val="2"/>
          <w:szCs w:val="20"/>
        </w:rPr>
        <w:t>谈判应答人</w:t>
      </w:r>
      <w:r>
        <w:rPr>
          <w:rFonts w:hint="eastAsia"/>
        </w:rPr>
        <w:t>必须具有深圳市政府采购注册供应商资格（供应商注册网址</w:t>
      </w:r>
      <w:r>
        <w:t>http://www.szzfcg.cn/</w:t>
      </w:r>
      <w:r>
        <w:rPr>
          <w:rFonts w:hint="eastAsia"/>
        </w:rPr>
        <w:t>，应答文件中无需提供证明材料。采购代理机构将在开标当天从供应商资料库里查询本项目所有供应商的注册状态，注册状态不是</w:t>
      </w:r>
      <w:r>
        <w:t>“</w:t>
      </w:r>
      <w:r>
        <w:rPr>
          <w:rFonts w:hint="eastAsia"/>
        </w:rPr>
        <w:t>有效</w:t>
      </w:r>
      <w:r>
        <w:t>”</w:t>
      </w:r>
      <w:r>
        <w:rPr>
          <w:rFonts w:hint="eastAsia"/>
        </w:rPr>
        <w:t>的，将按资格不符合采购文件要求，作资格审查不通过、应答无效处理）。</w:t>
      </w:r>
    </w:p>
    <w:p>
      <w:pPr>
        <w:tabs>
          <w:tab w:val="clear" w:pos="426"/>
        </w:tabs>
        <w:spacing w:line="240" w:lineRule="auto"/>
        <w:ind w:firstLine="424" w:firstLineChars="202"/>
      </w:pPr>
      <w:r>
        <w:rPr>
          <w:rFonts w:hint="eastAsia"/>
        </w:rPr>
        <w:t>（4）</w:t>
      </w:r>
      <w:r>
        <w:t>本项目不接受联合体</w:t>
      </w:r>
      <w:r>
        <w:rPr>
          <w:rFonts w:hint="eastAsia" w:ascii="Times New Roman" w:hAnsi="Times New Roman" w:cs="Times New Roman"/>
          <w:kern w:val="2"/>
          <w:szCs w:val="20"/>
        </w:rPr>
        <w:t>应答</w:t>
      </w:r>
      <w:r>
        <w:t>，不允许转包、分包。</w:t>
      </w:r>
    </w:p>
    <w:p>
      <w:pPr>
        <w:tabs>
          <w:tab w:val="clear" w:pos="426"/>
        </w:tabs>
        <w:spacing w:line="240" w:lineRule="auto"/>
        <w:rPr>
          <w:b/>
        </w:rPr>
      </w:pPr>
      <w:r>
        <w:rPr>
          <w:rFonts w:hint="eastAsia"/>
          <w:b/>
        </w:rPr>
        <w:t>三、获取采购文件</w:t>
      </w:r>
    </w:p>
    <w:p>
      <w:pPr>
        <w:tabs>
          <w:tab w:val="clear" w:pos="426"/>
        </w:tabs>
        <w:spacing w:line="240" w:lineRule="auto"/>
        <w:ind w:firstLine="424" w:firstLineChars="202"/>
      </w:pPr>
      <w:r>
        <w:rPr>
          <w:highlight w:val="yellow"/>
        </w:rPr>
        <w:t>1</w:t>
      </w:r>
      <w:r>
        <w:rPr>
          <w:rFonts w:hint="eastAsia"/>
          <w:highlight w:val="yellow"/>
        </w:rPr>
        <w:t>.获取采购文件时间：</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06</w:t>
      </w:r>
      <w:r>
        <w:rPr>
          <w:rFonts w:hint="eastAsia"/>
          <w:highlight w:val="yellow"/>
        </w:rPr>
        <w:t>日起至</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10日</w:t>
      </w:r>
      <w:r>
        <w:rPr>
          <w:rFonts w:hint="eastAsia"/>
          <w:highlight w:val="yellow"/>
        </w:rPr>
        <w:t>（节假日除外），</w:t>
      </w:r>
      <w:r>
        <w:rPr>
          <w:rFonts w:hint="eastAsia"/>
          <w:highlight w:val="yellow"/>
          <w:u w:val="single"/>
        </w:rPr>
        <w:t>09：00</w:t>
      </w:r>
      <w:r>
        <w:rPr>
          <w:rFonts w:hint="eastAsia"/>
          <w:highlight w:val="yellow"/>
        </w:rPr>
        <w:t>～</w:t>
      </w:r>
      <w:r>
        <w:rPr>
          <w:rFonts w:hint="eastAsia"/>
          <w:highlight w:val="yellow"/>
          <w:u w:val="single"/>
        </w:rPr>
        <w:t>11：30</w:t>
      </w:r>
      <w:r>
        <w:rPr>
          <w:rFonts w:hint="eastAsia"/>
          <w:highlight w:val="yellow"/>
        </w:rPr>
        <w:t>，</w:t>
      </w:r>
      <w:r>
        <w:rPr>
          <w:rFonts w:hint="eastAsia"/>
          <w:highlight w:val="yellow"/>
          <w:u w:val="single"/>
        </w:rPr>
        <w:t>14：00</w:t>
      </w:r>
      <w:r>
        <w:rPr>
          <w:rFonts w:hint="eastAsia"/>
          <w:highlight w:val="yellow"/>
        </w:rPr>
        <w:t>～</w:t>
      </w:r>
      <w:r>
        <w:rPr>
          <w:rFonts w:hint="eastAsia"/>
          <w:highlight w:val="yellow"/>
          <w:u w:val="single"/>
        </w:rPr>
        <w:t>17：30（</w:t>
      </w:r>
      <w:r>
        <w:rPr>
          <w:rFonts w:hint="eastAsia"/>
          <w:highlight w:val="yellow"/>
        </w:rPr>
        <w:t>北京时间）。</w:t>
      </w:r>
    </w:p>
    <w:p>
      <w:pPr>
        <w:spacing w:line="276" w:lineRule="auto"/>
        <w:ind w:firstLine="420" w:firstLineChars="200"/>
        <w:jc w:val="left"/>
      </w:pPr>
      <w:r>
        <w:rPr>
          <w:rFonts w:hint="eastAsia"/>
        </w:rPr>
        <w:t>2、获取采购文件方式：按照《关于疫情防控期间开展政府采购活动有关事项的通知》(财办库〔2020〕29号)和相关政策的规定，疫情防控期间，我司暂停现场报名，统一采用网上方式获取电子版采购文件，供应商可通过邮箱将报名资料发送至</w:t>
      </w:r>
      <w:r>
        <w:t>67091829</w:t>
      </w:r>
      <w:r>
        <w:rPr>
          <w:rFonts w:hint="eastAsia"/>
        </w:rPr>
        <w:t>@qq.com，并致电我司（肖工189274</w:t>
      </w:r>
      <w:r>
        <w:t>01799</w:t>
      </w:r>
      <w:r>
        <w:rPr>
          <w:rFonts w:hint="eastAsia"/>
        </w:rPr>
        <w:t>）。供应商需提供以下报名资料：</w:t>
      </w:r>
    </w:p>
    <w:p>
      <w:pPr>
        <w:spacing w:line="276" w:lineRule="auto"/>
        <w:ind w:firstLine="420" w:firstLineChars="200"/>
        <w:jc w:val="left"/>
      </w:pPr>
      <w:r>
        <w:rPr>
          <w:rFonts w:hint="eastAsia"/>
        </w:rPr>
        <w:t>(1）营业执照（或事业法人登记证等证明文件）复印件；</w:t>
      </w:r>
    </w:p>
    <w:p>
      <w:pPr>
        <w:spacing w:line="276" w:lineRule="auto"/>
        <w:ind w:firstLine="420" w:firstLineChars="200"/>
        <w:jc w:val="left"/>
      </w:pPr>
      <w:r>
        <w:rPr>
          <w:rFonts w:hint="eastAsia"/>
        </w:rPr>
        <w:t>(2）法定代表人证明书及授权委托书，附上法定代表人身份证复印件及授权代表身份证复印件；</w:t>
      </w:r>
    </w:p>
    <w:p>
      <w:pPr>
        <w:spacing w:line="276" w:lineRule="auto"/>
        <w:ind w:firstLine="420" w:firstLineChars="200"/>
        <w:jc w:val="left"/>
      </w:pPr>
      <w:r>
        <w:rPr>
          <w:rFonts w:hint="eastAsia"/>
        </w:rPr>
        <w:t>以上证明材料须加盖公章，原件备查。</w:t>
      </w:r>
    </w:p>
    <w:p>
      <w:pPr>
        <w:widowControl w:val="0"/>
        <w:shd w:val="clear" w:color="auto" w:fill="auto"/>
        <w:tabs>
          <w:tab w:val="clear" w:pos="426"/>
        </w:tabs>
        <w:spacing w:line="240" w:lineRule="auto"/>
        <w:rPr>
          <w:rFonts w:ascii="Times New Roman" w:hAnsi="Times New Roman" w:cs="Times New Roman"/>
          <w:b/>
          <w:kern w:val="2"/>
          <w:szCs w:val="21"/>
        </w:rPr>
      </w:pPr>
      <w:r>
        <w:rPr>
          <w:rFonts w:hint="eastAsia" w:ascii="Times New Roman" w:hAnsi="Times New Roman" w:cs="Times New Roman"/>
          <w:b/>
          <w:kern w:val="2"/>
          <w:szCs w:val="21"/>
        </w:rPr>
        <w:t>四、提交应答文件截止时间、开标时间和地点</w:t>
      </w:r>
    </w:p>
    <w:p>
      <w:pPr>
        <w:spacing w:line="276" w:lineRule="auto"/>
        <w:ind w:firstLine="420" w:firstLineChars="200"/>
        <w:jc w:val="left"/>
        <w:rPr>
          <w:bCs/>
          <w:szCs w:val="21"/>
          <w:highlight w:val="yellow"/>
        </w:rPr>
      </w:pPr>
      <w:r>
        <w:rPr>
          <w:rFonts w:hint="eastAsia"/>
          <w:bCs/>
          <w:szCs w:val="21"/>
          <w:highlight w:val="yellow"/>
        </w:rPr>
        <w:t>时间：</w:t>
      </w:r>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11</w:t>
      </w:r>
      <w:r>
        <w:rPr>
          <w:rFonts w:hint="eastAsia"/>
          <w:highlight w:val="yellow"/>
        </w:rPr>
        <w:t>日</w:t>
      </w:r>
      <w:r>
        <w:rPr>
          <w:bCs/>
          <w:szCs w:val="21"/>
          <w:highlight w:val="yellow"/>
        </w:rPr>
        <w:t xml:space="preserve">14：30分（北京时间） </w:t>
      </w:r>
    </w:p>
    <w:p>
      <w:pPr>
        <w:spacing w:line="276" w:lineRule="auto"/>
        <w:ind w:firstLine="420" w:firstLineChars="200"/>
        <w:jc w:val="left"/>
        <w:rPr>
          <w:rFonts w:ascii="Times New Roman" w:hAnsi="Times New Roman"/>
        </w:rPr>
      </w:pPr>
      <w:r>
        <w:rPr>
          <w:rFonts w:hint="eastAsia"/>
          <w:bCs/>
          <w:szCs w:val="21"/>
          <w:highlight w:val="yellow"/>
        </w:rPr>
        <w:t>地点：</w:t>
      </w:r>
      <w:r>
        <w:rPr>
          <w:rFonts w:hint="eastAsia" w:ascii="Times New Roman" w:hAnsi="Times New Roman"/>
          <w:highlight w:val="yellow"/>
        </w:rPr>
        <w:t>深圳市龙岗区龙城街道爱联社区缤纷世纪公寓</w:t>
      </w:r>
      <w:r>
        <w:rPr>
          <w:rFonts w:ascii="Times New Roman" w:hAnsi="Times New Roman"/>
          <w:highlight w:val="yellow"/>
        </w:rPr>
        <w:t>A</w:t>
      </w:r>
      <w:r>
        <w:rPr>
          <w:rFonts w:hint="eastAsia" w:ascii="Times New Roman" w:hAnsi="Times New Roman"/>
          <w:highlight w:val="yellow"/>
        </w:rPr>
        <w:t>座</w:t>
      </w:r>
      <w:r>
        <w:rPr>
          <w:rFonts w:ascii="Times New Roman" w:hAnsi="Times New Roman"/>
          <w:highlight w:val="yellow"/>
        </w:rPr>
        <w:t>31E</w:t>
      </w:r>
      <w:r>
        <w:rPr>
          <w:rFonts w:hint="eastAsia" w:ascii="Times New Roman" w:hAnsi="Times New Roman"/>
          <w:highlight w:val="yellow"/>
        </w:rPr>
        <w:t>、</w:t>
      </w:r>
      <w:r>
        <w:rPr>
          <w:rFonts w:ascii="Times New Roman" w:hAnsi="Times New Roman"/>
          <w:highlight w:val="yellow"/>
        </w:rPr>
        <w:t>31F</w:t>
      </w:r>
    </w:p>
    <w:p>
      <w:pPr>
        <w:widowControl w:val="0"/>
        <w:shd w:val="clear" w:color="auto" w:fill="auto"/>
        <w:tabs>
          <w:tab w:val="clear" w:pos="426"/>
        </w:tabs>
        <w:spacing w:line="240" w:lineRule="auto"/>
        <w:rPr>
          <w:rFonts w:ascii="Times New Roman" w:hAnsi="Times New Roman" w:cs="Times New Roman"/>
          <w:b/>
          <w:kern w:val="2"/>
          <w:szCs w:val="21"/>
        </w:rPr>
      </w:pPr>
      <w:r>
        <w:rPr>
          <w:rFonts w:hint="eastAsia" w:ascii="Times New Roman" w:hAnsi="Times New Roman" w:cs="Times New Roman"/>
          <w:b/>
          <w:kern w:val="2"/>
          <w:szCs w:val="21"/>
        </w:rPr>
        <w:t>五、其他补充事宜</w:t>
      </w:r>
    </w:p>
    <w:p>
      <w:pPr>
        <w:tabs>
          <w:tab w:val="clear" w:pos="426"/>
        </w:tabs>
        <w:spacing w:line="240" w:lineRule="auto"/>
        <w:ind w:firstLine="424" w:firstLineChars="202"/>
        <w:rPr>
          <w:szCs w:val="21"/>
        </w:rPr>
      </w:pPr>
      <w:r>
        <w:rPr>
          <w:szCs w:val="21"/>
        </w:rPr>
        <w:t>1.</w:t>
      </w:r>
      <w:r>
        <w:rPr>
          <w:rFonts w:hint="eastAsia"/>
        </w:rPr>
        <w:t xml:space="preserve"> 本项目实行网下采购，采用纸质应答文件。</w:t>
      </w:r>
    </w:p>
    <w:p>
      <w:pPr>
        <w:tabs>
          <w:tab w:val="clear" w:pos="426"/>
        </w:tabs>
        <w:spacing w:line="240" w:lineRule="auto"/>
        <w:ind w:firstLine="424" w:firstLineChars="202"/>
        <w:rPr>
          <w:szCs w:val="21"/>
        </w:rPr>
      </w:pPr>
      <w:r>
        <w:rPr>
          <w:rFonts w:hint="eastAsia"/>
          <w:szCs w:val="21"/>
        </w:rPr>
        <w:t xml:space="preserve">2. </w:t>
      </w:r>
      <w:r>
        <w:rPr>
          <w:szCs w:val="21"/>
        </w:rPr>
        <w:t>本项目实行网下纸质答疑，凡对采购文件有任何疑问的（包括认为采购文件的技术指标或参数存在排他性或歧视性条款），请应答人于</w:t>
      </w:r>
      <w:bookmarkStart w:id="14" w:name="_Hlk65416315"/>
      <w:r>
        <w:rPr>
          <w:rFonts w:hint="eastAsia"/>
          <w:highlight w:val="yellow"/>
          <w:u w:val="single"/>
        </w:rPr>
        <w:t>2022</w:t>
      </w:r>
      <w:r>
        <w:rPr>
          <w:rFonts w:hint="eastAsia"/>
          <w:highlight w:val="yellow"/>
        </w:rPr>
        <w:t>年</w:t>
      </w:r>
      <w:r>
        <w:rPr>
          <w:rFonts w:hint="eastAsia"/>
          <w:highlight w:val="yellow"/>
          <w:u w:val="single"/>
        </w:rPr>
        <w:t>04</w:t>
      </w:r>
      <w:r>
        <w:rPr>
          <w:rFonts w:hint="eastAsia"/>
          <w:highlight w:val="yellow"/>
        </w:rPr>
        <w:t>月</w:t>
      </w:r>
      <w:r>
        <w:rPr>
          <w:rFonts w:hint="eastAsia"/>
          <w:highlight w:val="yellow"/>
          <w:u w:val="single"/>
        </w:rPr>
        <w:t>08</w:t>
      </w:r>
      <w:r>
        <w:rPr>
          <w:rFonts w:hint="eastAsia"/>
          <w:highlight w:val="yellow"/>
        </w:rPr>
        <w:t>日</w:t>
      </w:r>
      <w:r>
        <w:rPr>
          <w:bCs/>
          <w:szCs w:val="21"/>
          <w:highlight w:val="yellow"/>
        </w:rPr>
        <w:t>1</w:t>
      </w:r>
      <w:r>
        <w:rPr>
          <w:rFonts w:hint="eastAsia"/>
          <w:bCs/>
          <w:szCs w:val="21"/>
          <w:highlight w:val="yellow"/>
        </w:rPr>
        <w:t>7</w:t>
      </w:r>
      <w:r>
        <w:rPr>
          <w:bCs/>
          <w:szCs w:val="21"/>
          <w:highlight w:val="yellow"/>
        </w:rPr>
        <w:t>：30分（北京时间）</w:t>
      </w:r>
      <w:r>
        <w:rPr>
          <w:b/>
          <w:szCs w:val="21"/>
        </w:rPr>
        <w:t>前</w:t>
      </w:r>
      <w:bookmarkEnd w:id="14"/>
      <w:r>
        <w:rPr>
          <w:szCs w:val="21"/>
        </w:rPr>
        <w:t>，根据《深圳经济特区政府采购条例》第六章、《深圳市经济特区政府采购条例实施细则》第六章及深圳交易集团有限公司政府采购业务分公司网页http://www.szggzy.com/fwdh/fwdhzfcg/zlxz2/content_17377.html所发布的有关质疑的指引及要求填写质疑函件，并将质疑函件以及相关质疑内容的证明材料原件送达</w:t>
      </w:r>
      <w:r>
        <w:rPr>
          <w:rFonts w:hint="eastAsia"/>
        </w:rPr>
        <w:t>深圳市鑫润招标代理有限公司</w:t>
      </w:r>
      <w:r>
        <w:t>（</w:t>
      </w:r>
      <w:r>
        <w:rPr>
          <w:rFonts w:hint="eastAsia" w:ascii="Times New Roman" w:hAnsi="Times New Roman"/>
        </w:rPr>
        <w:t>深圳市龙岗区龙城街道爱联社区缤纷世纪公寓A座31E、31F</w:t>
      </w:r>
      <w:r>
        <w:rPr>
          <w:rFonts w:hint="eastAsia"/>
        </w:rPr>
        <w:t>）</w:t>
      </w:r>
      <w:r>
        <w:rPr>
          <w:szCs w:val="21"/>
        </w:rPr>
        <w:t>，逾期不受理。</w:t>
      </w:r>
    </w:p>
    <w:p>
      <w:pPr>
        <w:tabs>
          <w:tab w:val="clear" w:pos="426"/>
        </w:tabs>
        <w:spacing w:line="240" w:lineRule="auto"/>
        <w:ind w:firstLine="424" w:firstLineChars="202"/>
        <w:rPr>
          <w:szCs w:val="21"/>
        </w:rPr>
      </w:pPr>
      <w:r>
        <w:rPr>
          <w:szCs w:val="21"/>
        </w:rPr>
        <w:t>3.谈判应答人有义务在谈判活动期间浏览本公告中的相关网站，采购人在上述网站上公布的与本次项目有关的信息视为已送达各应答人。采购代理机构将答疑情况或相关的补充公告（说明）在相关网站公布，请应答人及时关注本项目的投答疑情况。应答人因疏忽，未及时登录相关网站了解相关的答疑情况及补充说明，产生的不利后果由谈判应答人自行承担。</w:t>
      </w:r>
    </w:p>
    <w:p>
      <w:pPr>
        <w:tabs>
          <w:tab w:val="clear" w:pos="426"/>
        </w:tabs>
        <w:spacing w:line="240" w:lineRule="auto"/>
        <w:rPr>
          <w:b/>
        </w:rPr>
      </w:pPr>
      <w:r>
        <w:rPr>
          <w:rFonts w:hint="eastAsia"/>
          <w:b/>
        </w:rPr>
        <w:t>六、对本次谈判提出询问，请按以下方式联系</w:t>
      </w:r>
    </w:p>
    <w:p>
      <w:pPr>
        <w:spacing w:line="276" w:lineRule="auto"/>
        <w:ind w:firstLine="420" w:firstLineChars="200"/>
        <w:jc w:val="left"/>
        <w:rPr>
          <w:szCs w:val="21"/>
        </w:rPr>
      </w:pPr>
      <w:r>
        <w:rPr>
          <w:szCs w:val="21"/>
        </w:rPr>
        <w:t>1.采购人信息</w:t>
      </w:r>
    </w:p>
    <w:p>
      <w:pPr>
        <w:spacing w:line="276" w:lineRule="auto"/>
        <w:ind w:firstLine="420" w:firstLineChars="200"/>
        <w:jc w:val="left"/>
        <w:rPr>
          <w:szCs w:val="21"/>
        </w:rPr>
      </w:pPr>
      <w:r>
        <w:rPr>
          <w:rFonts w:hint="eastAsia"/>
          <w:szCs w:val="21"/>
        </w:rPr>
        <w:t>名　称：深圳市龙华区文化广电旅游体育局</w:t>
      </w:r>
    </w:p>
    <w:p>
      <w:pPr>
        <w:tabs>
          <w:tab w:val="clear" w:pos="426"/>
        </w:tabs>
        <w:spacing w:line="276" w:lineRule="auto"/>
        <w:ind w:firstLine="424" w:firstLineChars="202"/>
        <w:jc w:val="left"/>
        <w:rPr>
          <w:szCs w:val="21"/>
        </w:rPr>
      </w:pPr>
      <w:r>
        <w:rPr>
          <w:rFonts w:hint="eastAsia"/>
          <w:szCs w:val="21"/>
        </w:rPr>
        <w:t>地　址</w:t>
      </w:r>
      <w:r>
        <w:rPr>
          <w:szCs w:val="21"/>
        </w:rPr>
        <w:t>：</w:t>
      </w:r>
      <w:r>
        <w:rPr>
          <w:rFonts w:hint="eastAsia"/>
          <w:szCs w:val="21"/>
        </w:rPr>
        <w:t>深圳市龙华区龙华街道富康行政服务办公区17-18楼</w:t>
      </w:r>
    </w:p>
    <w:p>
      <w:pPr>
        <w:tabs>
          <w:tab w:val="clear" w:pos="426"/>
        </w:tabs>
        <w:spacing w:line="276" w:lineRule="auto"/>
        <w:ind w:firstLine="424" w:firstLineChars="202"/>
        <w:jc w:val="left"/>
        <w:rPr>
          <w:szCs w:val="21"/>
        </w:rPr>
      </w:pPr>
      <w:r>
        <w:rPr>
          <w:rFonts w:hint="eastAsia"/>
          <w:szCs w:val="21"/>
        </w:rPr>
        <w:t>联系人：许女士</w:t>
      </w:r>
    </w:p>
    <w:p>
      <w:pPr>
        <w:tabs>
          <w:tab w:val="clear" w:pos="426"/>
        </w:tabs>
        <w:spacing w:line="276" w:lineRule="auto"/>
        <w:ind w:firstLine="424" w:firstLineChars="202"/>
        <w:jc w:val="left"/>
        <w:rPr>
          <w:szCs w:val="21"/>
        </w:rPr>
      </w:pPr>
      <w:r>
        <w:rPr>
          <w:rFonts w:hint="eastAsia"/>
          <w:szCs w:val="21"/>
        </w:rPr>
        <w:t>电</w:t>
      </w:r>
      <w:r>
        <w:rPr>
          <w:szCs w:val="21"/>
        </w:rPr>
        <w:t xml:space="preserve">  </w:t>
      </w:r>
      <w:r>
        <w:rPr>
          <w:rFonts w:hint="eastAsia"/>
          <w:szCs w:val="21"/>
        </w:rPr>
        <w:t>话：23336257</w:t>
      </w:r>
    </w:p>
    <w:p>
      <w:pPr>
        <w:spacing w:line="276" w:lineRule="auto"/>
        <w:ind w:firstLine="420" w:firstLineChars="200"/>
        <w:jc w:val="left"/>
        <w:rPr>
          <w:szCs w:val="21"/>
        </w:rPr>
      </w:pPr>
      <w:r>
        <w:rPr>
          <w:rFonts w:hint="eastAsia"/>
          <w:szCs w:val="21"/>
        </w:rPr>
        <w:t>2.采购代理机构信息</w:t>
      </w:r>
    </w:p>
    <w:p>
      <w:pPr>
        <w:spacing w:line="276" w:lineRule="auto"/>
        <w:ind w:firstLine="420" w:firstLineChars="200"/>
        <w:jc w:val="left"/>
        <w:rPr>
          <w:szCs w:val="21"/>
        </w:rPr>
      </w:pPr>
      <w:r>
        <w:rPr>
          <w:rFonts w:hint="eastAsia"/>
          <w:szCs w:val="21"/>
        </w:rPr>
        <w:t>名　  称：</w:t>
      </w:r>
      <w:r>
        <w:t>深圳市鑫润招标代理有限公司</w:t>
      </w:r>
    </w:p>
    <w:p>
      <w:pPr>
        <w:spacing w:line="276" w:lineRule="auto"/>
        <w:ind w:firstLine="420" w:firstLineChars="200"/>
      </w:pPr>
      <w:r>
        <w:t>联 系 人：</w:t>
      </w:r>
      <w:r>
        <w:rPr>
          <w:rFonts w:hint="eastAsia"/>
        </w:rPr>
        <w:t>肖工</w:t>
      </w:r>
    </w:p>
    <w:p>
      <w:pPr>
        <w:spacing w:line="276" w:lineRule="auto"/>
        <w:ind w:firstLine="420" w:firstLineChars="200"/>
        <w:rPr>
          <w:rFonts w:ascii="Times New Roman" w:hAnsi="Times New Roman"/>
        </w:rPr>
      </w:pPr>
      <w:r>
        <w:t>通讯地址：</w:t>
      </w:r>
      <w:r>
        <w:rPr>
          <w:rFonts w:hint="eastAsia" w:ascii="Times New Roman" w:hAnsi="Times New Roman"/>
        </w:rPr>
        <w:t>深圳市龙岗区龙城街道爱联社区缤纷世纪公寓A座31E、31F</w:t>
      </w:r>
    </w:p>
    <w:p>
      <w:pPr>
        <w:spacing w:line="276" w:lineRule="auto"/>
        <w:ind w:firstLine="420" w:firstLineChars="200"/>
      </w:pPr>
      <w:r>
        <w:t>邮政编码：518172</w:t>
      </w:r>
    </w:p>
    <w:p>
      <w:pPr>
        <w:spacing w:line="276" w:lineRule="auto"/>
        <w:ind w:firstLine="420" w:firstLineChars="200"/>
      </w:pPr>
      <w:r>
        <w:t>电　　话：0755-84876907 18927401799</w:t>
      </w:r>
    </w:p>
    <w:p>
      <w:pPr>
        <w:spacing w:line="276" w:lineRule="auto"/>
        <w:ind w:firstLine="420" w:firstLineChars="200"/>
      </w:pPr>
      <w:r>
        <w:t>传　　真：0755-84876907</w:t>
      </w:r>
    </w:p>
    <w:p>
      <w:pPr>
        <w:spacing w:line="276" w:lineRule="auto"/>
        <w:ind w:firstLine="420" w:firstLineChars="200"/>
      </w:pPr>
      <w:r>
        <w:t>公司网址：</w:t>
      </w:r>
      <w:r>
        <w:rPr>
          <w:rFonts w:hint="eastAsia"/>
        </w:rPr>
        <w:t>http://</w:t>
      </w:r>
      <w:r>
        <w:t>www.</w:t>
      </w:r>
      <w:r>
        <w:rPr>
          <w:rFonts w:hint="eastAsia"/>
        </w:rPr>
        <w:t>xrzbdl.com/</w:t>
      </w:r>
    </w:p>
    <w:p>
      <w:pPr>
        <w:spacing w:line="276" w:lineRule="auto"/>
        <w:ind w:firstLine="420" w:firstLineChars="200"/>
      </w:pPr>
      <w:r>
        <w:t>E－ mail：67091829@qq.com</w:t>
      </w:r>
    </w:p>
    <w:p>
      <w:pPr>
        <w:spacing w:line="276" w:lineRule="auto"/>
        <w:ind w:firstLine="420" w:firstLineChars="200"/>
      </w:pPr>
      <w:r>
        <w:t>银行账户信息：</w:t>
      </w:r>
    </w:p>
    <w:p>
      <w:pPr>
        <w:spacing w:line="276" w:lineRule="auto"/>
        <w:ind w:firstLine="420" w:firstLineChars="200"/>
      </w:pPr>
      <w:r>
        <w:t>采购文件缴费账户</w:t>
      </w:r>
    </w:p>
    <w:p>
      <w:pPr>
        <w:spacing w:line="276" w:lineRule="auto"/>
        <w:ind w:firstLine="420" w:firstLineChars="200"/>
      </w:pPr>
      <w:r>
        <w:t>账户名称：深圳市鑫润招标代理有限公司</w:t>
      </w:r>
    </w:p>
    <w:p>
      <w:pPr>
        <w:spacing w:line="276" w:lineRule="auto"/>
        <w:ind w:firstLine="420" w:firstLineChars="200"/>
      </w:pPr>
      <w:r>
        <w:t>帐</w:t>
      </w:r>
      <w:r>
        <w:rPr>
          <w:rFonts w:hint="eastAsia"/>
        </w:rPr>
        <w:t xml:space="preserve"> </w:t>
      </w:r>
      <w:r>
        <w:t>  号：</w:t>
      </w:r>
      <w:r>
        <w:rPr>
          <w:spacing w:val="38"/>
          <w:kern w:val="0"/>
          <w:fitText w:val="1680" w:id="-1557965567"/>
        </w:rPr>
        <w:t>74717181089</w:t>
      </w:r>
      <w:r>
        <w:rPr>
          <w:spacing w:val="2"/>
          <w:kern w:val="0"/>
          <w:fitText w:val="1680" w:id="-1557965567"/>
        </w:rPr>
        <w:t>3</w:t>
      </w:r>
    </w:p>
    <w:p>
      <w:pPr>
        <w:spacing w:line="276" w:lineRule="auto"/>
        <w:ind w:firstLine="420" w:firstLineChars="200"/>
        <w:rPr>
          <w:rFonts w:ascii="Times New Roman" w:hAnsi="Times New Roman" w:cs="Times New Roman"/>
          <w:b/>
          <w:kern w:val="2"/>
          <w:szCs w:val="21"/>
        </w:rPr>
      </w:pPr>
      <w:r>
        <w:t>开户银行：中国银行深圳公园大地支行</w:t>
      </w:r>
      <w:r>
        <w:br w:type="textWrapping"/>
      </w:r>
      <w:r>
        <w:rPr>
          <w:rFonts w:hint="eastAsia" w:ascii="Times New Roman" w:hAnsi="Times New Roman" w:cs="Times New Roman"/>
          <w:b/>
          <w:kern w:val="2"/>
          <w:szCs w:val="21"/>
        </w:rPr>
        <w:t>八、附件</w:t>
      </w:r>
    </w:p>
    <w:p>
      <w:pPr>
        <w:tabs>
          <w:tab w:val="clear" w:pos="426"/>
        </w:tabs>
        <w:ind w:firstLine="424" w:firstLineChars="202"/>
        <w:rPr>
          <w:color w:val="0000FF"/>
          <w:u w:val="single"/>
        </w:rPr>
      </w:pPr>
      <w:r>
        <w:rPr>
          <w:rFonts w:hint="eastAsia"/>
        </w:rPr>
        <w:t>采购文件：</w:t>
      </w:r>
      <w:bookmarkStart w:id="15" w:name="_Hlk66182219"/>
      <w:r>
        <w:rPr>
          <w:rFonts w:hint="eastAsia"/>
        </w:rPr>
        <w:t>-点此下载-</w:t>
      </w:r>
      <w:bookmarkEnd w:id="15"/>
    </w:p>
    <w:p/>
    <w:p>
      <w:pPr>
        <w:pStyle w:val="33"/>
        <w:tabs>
          <w:tab w:val="clear" w:pos="426"/>
        </w:tabs>
        <w:sectPr>
          <w:headerReference r:id="rId7" w:type="first"/>
          <w:footerReference r:id="rId9" w:type="first"/>
          <w:headerReference r:id="rId6" w:type="default"/>
          <w:footerReference r:id="rId8" w:type="default"/>
          <w:pgSz w:w="11906" w:h="16838"/>
          <w:pgMar w:top="1440" w:right="1797" w:bottom="1440" w:left="1797" w:header="851" w:footer="992" w:gutter="0"/>
          <w:pgNumType w:start="1"/>
          <w:cols w:space="425" w:num="1"/>
          <w:titlePg/>
          <w:docGrid w:linePitch="462" w:charSpace="0"/>
        </w:sectPr>
      </w:pPr>
    </w:p>
    <w:p>
      <w:pPr>
        <w:pStyle w:val="309"/>
        <w:pageBreakBefore/>
      </w:pPr>
      <w:bookmarkStart w:id="16" w:name="_Toc96519538"/>
      <w:r>
        <w:rPr>
          <w:rFonts w:hint="eastAsia"/>
        </w:rPr>
        <w:t xml:space="preserve">第二章 </w:t>
      </w:r>
      <w:bookmarkEnd w:id="12"/>
      <w:r>
        <w:rPr>
          <w:rFonts w:hint="eastAsia"/>
        </w:rPr>
        <w:t>谈判应答须知前附表</w:t>
      </w:r>
      <w:bookmarkEnd w:id="16"/>
    </w:p>
    <w:p>
      <w:pPr>
        <w:tabs>
          <w:tab w:val="clear" w:pos="426"/>
        </w:tabs>
        <w:spacing w:line="240" w:lineRule="auto"/>
        <w:ind w:right="-174" w:rightChars="-83"/>
      </w:pPr>
      <w:r>
        <w:rPr>
          <w:rFonts w:hint="eastAsia"/>
        </w:rPr>
        <w:t>说明：本表是对通用条款《谈判应答人须知》条款的补充、修改和完善，如果有矛盾，应以本表为准。</w:t>
      </w:r>
    </w:p>
    <w:tbl>
      <w:tblPr>
        <w:tblStyle w:val="44"/>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843"/>
        <w:gridCol w:w="71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tabs>
                <w:tab w:val="clear" w:pos="426"/>
              </w:tabs>
              <w:spacing w:line="240" w:lineRule="exact"/>
              <w:jc w:val="center"/>
            </w:pPr>
            <w:r>
              <w:rPr>
                <w:rFonts w:hint="eastAsia"/>
              </w:rPr>
              <w:t>序号</w:t>
            </w:r>
          </w:p>
        </w:tc>
        <w:tc>
          <w:tcPr>
            <w:tcW w:w="963" w:type="pct"/>
            <w:vAlign w:val="center"/>
          </w:tcPr>
          <w:p>
            <w:pPr>
              <w:tabs>
                <w:tab w:val="clear" w:pos="426"/>
              </w:tabs>
              <w:spacing w:line="240" w:lineRule="exact"/>
              <w:jc w:val="center"/>
            </w:pPr>
            <w:r>
              <w:rPr>
                <w:rFonts w:hint="eastAsia"/>
              </w:rPr>
              <w:t>内容</w:t>
            </w:r>
          </w:p>
        </w:tc>
        <w:tc>
          <w:tcPr>
            <w:tcW w:w="3758" w:type="pct"/>
            <w:vAlign w:val="center"/>
          </w:tcPr>
          <w:p>
            <w:pPr>
              <w:tabs>
                <w:tab w:val="clear" w:pos="426"/>
              </w:tabs>
              <w:spacing w:line="240" w:lineRule="exact"/>
              <w:jc w:val="center"/>
            </w:pPr>
            <w:r>
              <w:rPr>
                <w:rFonts w:hint="eastAsia"/>
              </w:rPr>
              <w:t>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联合体谈判应答</w:t>
            </w:r>
          </w:p>
        </w:tc>
        <w:tc>
          <w:tcPr>
            <w:tcW w:w="3758" w:type="pct"/>
            <w:vAlign w:val="center"/>
          </w:tcPr>
          <w:p>
            <w:pPr>
              <w:pStyle w:val="307"/>
            </w:pPr>
            <w:r>
              <w:rPr>
                <w:rFonts w:hint="eastAsia"/>
              </w:rPr>
              <w:t>■不接受（采购文件中相关联合体规定均不适用）   口接受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踏勘现场</w:t>
            </w:r>
          </w:p>
        </w:tc>
        <w:tc>
          <w:tcPr>
            <w:tcW w:w="3758" w:type="pct"/>
            <w:vAlign w:val="center"/>
          </w:tcPr>
          <w:p>
            <w:pPr>
              <w:pStyle w:val="307"/>
            </w:pPr>
            <w:r>
              <w:rPr>
                <w:rFonts w:hint="eastAsia"/>
              </w:rPr>
              <w:t>■不组织。</w:t>
            </w:r>
          </w:p>
          <w:p>
            <w:pPr>
              <w:pStyle w:val="307"/>
            </w:pPr>
            <w:r>
              <w:rPr>
                <w:rFonts w:hint="eastAsia"/>
              </w:rPr>
              <w:t>口组织。踏勘时间：</w:t>
            </w:r>
            <w:r>
              <w:rPr>
                <w:rFonts w:hint="eastAsia"/>
                <w:u w:val="single"/>
              </w:rPr>
              <w:t>_______年___月_____日_____时____分</w:t>
            </w:r>
          </w:p>
          <w:p>
            <w:pPr>
              <w:pStyle w:val="307"/>
              <w:rPr>
                <w:u w:val="single"/>
              </w:rPr>
            </w:pPr>
            <w:r>
              <w:rPr>
                <w:rFonts w:hint="eastAsia"/>
              </w:rPr>
              <w:t xml:space="preserve">        集合地点：</w:t>
            </w:r>
            <w:r>
              <w:rPr>
                <w:rFonts w:hint="eastAsia"/>
                <w:u w:val="single"/>
              </w:rPr>
              <w:t>_</w:t>
            </w:r>
            <w:r>
              <w:rPr>
                <w:u w:val="single"/>
              </w:rPr>
              <w:t>_________________________________</w:t>
            </w:r>
          </w:p>
          <w:p>
            <w:pPr>
              <w:pStyle w:val="307"/>
            </w:pPr>
            <w:r>
              <w:t xml:space="preserve">        </w:t>
            </w:r>
            <w:r>
              <w:rPr>
                <w:rFonts w:hint="eastAsia"/>
              </w:rPr>
              <w:t>联系人：</w:t>
            </w:r>
            <w:r>
              <w:rPr>
                <w:rFonts w:hint="eastAsia"/>
                <w:u w:val="single"/>
              </w:rPr>
              <w:t>_</w:t>
            </w:r>
            <w:r>
              <w:rPr>
                <w:u w:val="single"/>
              </w:rPr>
              <w:t>______</w:t>
            </w:r>
            <w:r>
              <w:rPr>
                <w:rFonts w:hint="eastAsia"/>
              </w:rPr>
              <w:t>，联系电话：</w:t>
            </w:r>
            <w:r>
              <w:rPr>
                <w:rFonts w:hint="eastAsia"/>
                <w:u w:val="single"/>
              </w:rPr>
              <w:t>_</w:t>
            </w:r>
            <w:r>
              <w:rPr>
                <w:u w:val="single"/>
              </w:rPr>
              <w:t>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谈判应答人质疑的截止时间</w:t>
            </w:r>
          </w:p>
        </w:tc>
        <w:tc>
          <w:tcPr>
            <w:tcW w:w="3758" w:type="pct"/>
            <w:vAlign w:val="center"/>
          </w:tcPr>
          <w:p>
            <w:pPr>
              <w:pStyle w:val="307"/>
            </w:pPr>
            <w:r>
              <w:t>2022年</w:t>
            </w:r>
            <w:r>
              <w:rPr>
                <w:rFonts w:hint="eastAsia"/>
              </w:rPr>
              <w:t>04</w:t>
            </w:r>
            <w:r>
              <w:t>月</w:t>
            </w:r>
            <w:r>
              <w:rPr>
                <w:rFonts w:hint="eastAsia"/>
              </w:rPr>
              <w:t xml:space="preserve">08 </w:t>
            </w:r>
            <w:r>
              <w:t>日</w:t>
            </w:r>
            <w:r>
              <w:rPr>
                <w:rFonts w:hint="eastAsia"/>
              </w:rPr>
              <w:t>17</w:t>
            </w:r>
            <w:r>
              <w:t>:</w:t>
            </w:r>
            <w:r>
              <w:rPr>
                <w:rFonts w:hint="eastAsia"/>
              </w:rPr>
              <w:t>3</w:t>
            </w:r>
            <w:r>
              <w:t>0（北京时间）前，供应商如果认为采购文件存在不明确、不清晰和前后不一致等问题，可</w:t>
            </w:r>
            <w:r>
              <w:rPr>
                <w:rFonts w:hint="eastAsia"/>
              </w:rPr>
              <w:t>将质疑函件以及相关质疑内容的证明材料原件送达深圳市鑫润招标代理有限公司（深圳市龙岗区龙城街道爱联社区缤纷世纪公寓</w:t>
            </w:r>
            <w:r>
              <w:t>A座31E、31F）或电话咨询</w:t>
            </w:r>
            <w:r>
              <w:rPr>
                <w:rFonts w:hint="eastAsia"/>
              </w:rPr>
              <w:t>我司</w:t>
            </w:r>
            <w:r>
              <w:t>联系人</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采购文件澄清或修补的截止时间</w:t>
            </w:r>
          </w:p>
        </w:tc>
        <w:tc>
          <w:tcPr>
            <w:tcW w:w="3758" w:type="pct"/>
            <w:vAlign w:val="center"/>
          </w:tcPr>
          <w:p>
            <w:pPr>
              <w:pStyle w:val="307"/>
            </w:pPr>
            <w:r>
              <w:rPr>
                <w:rFonts w:hint="eastAsia"/>
              </w:rPr>
              <w:t>在谈判截止日期前任何时候可对谈判文件进行修改，供应商有义务在采购期间在深圳公共资源交易网网站浏览与本项目有关的澄清和修改信息。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代理</w:t>
            </w:r>
            <w:r>
              <w:t>服务费</w:t>
            </w:r>
          </w:p>
        </w:tc>
        <w:tc>
          <w:tcPr>
            <w:tcW w:w="3758" w:type="pct"/>
            <w:vAlign w:val="center"/>
          </w:tcPr>
          <w:p>
            <w:pPr>
              <w:tabs>
                <w:tab w:val="clear" w:pos="426"/>
              </w:tabs>
              <w:spacing w:line="240" w:lineRule="exact"/>
            </w:pPr>
            <w:r>
              <w:rPr>
                <w:rFonts w:hint="eastAsia"/>
              </w:rPr>
              <w:t>（1）计算基数：成交金额。计算方法：采购代理机构以采购文件规定的计算基数，依据《深圳市财政局关于规范深圳市社会采购代理机构管理有关事项的补充通知》（深财购〔</w:t>
            </w:r>
            <w:r>
              <w:t>2018〕27号）规定的谈判代理服务费收费办法，按差额定率累进法计算</w:t>
            </w:r>
            <w:r>
              <w:rPr>
                <w:rFonts w:hint="eastAsia"/>
              </w:rPr>
              <w:t>。</w:t>
            </w:r>
          </w:p>
          <w:p>
            <w:pPr>
              <w:tabs>
                <w:tab w:val="clear" w:pos="426"/>
              </w:tabs>
              <w:spacing w:line="240" w:lineRule="exact"/>
            </w:pPr>
            <w:r>
              <w:rPr>
                <w:rFonts w:hint="eastAsia"/>
              </w:rPr>
              <w:t>（2）支付人：成交人。</w:t>
            </w:r>
          </w:p>
          <w:p>
            <w:pPr>
              <w:tabs>
                <w:tab w:val="clear" w:pos="426"/>
              </w:tabs>
              <w:spacing w:line="240" w:lineRule="exact"/>
            </w:pPr>
            <w:r>
              <w:rPr>
                <w:rFonts w:hint="eastAsia"/>
              </w:rPr>
              <w:t>（3）支付方式：银行转账。</w:t>
            </w:r>
          </w:p>
          <w:p>
            <w:pPr>
              <w:tabs>
                <w:tab w:val="clear" w:pos="426"/>
              </w:tabs>
              <w:spacing w:line="240" w:lineRule="exact"/>
            </w:pPr>
            <w:r>
              <w:rPr>
                <w:rFonts w:hint="eastAsia"/>
              </w:rPr>
              <w:t>（4）收款账户信息如下：</w:t>
            </w:r>
          </w:p>
          <w:p>
            <w:pPr>
              <w:tabs>
                <w:tab w:val="clear" w:pos="426"/>
              </w:tabs>
              <w:adjustRightInd/>
              <w:snapToGrid/>
              <w:spacing w:line="240" w:lineRule="auto"/>
            </w:pPr>
            <w:r>
              <w:rPr>
                <w:rFonts w:hint="eastAsia"/>
              </w:rPr>
              <w:t>户名：深圳市鑫润招标代理有限公司</w:t>
            </w:r>
          </w:p>
          <w:p>
            <w:pPr>
              <w:tabs>
                <w:tab w:val="clear" w:pos="426"/>
              </w:tabs>
              <w:adjustRightInd/>
              <w:snapToGrid/>
              <w:spacing w:line="240" w:lineRule="auto"/>
            </w:pPr>
            <w:r>
              <w:rPr>
                <w:rFonts w:hint="eastAsia"/>
              </w:rPr>
              <w:t>账号：</w:t>
            </w:r>
            <w:r>
              <w:t>747171810893</w:t>
            </w:r>
          </w:p>
          <w:p>
            <w:pPr>
              <w:pStyle w:val="297"/>
              <w:ind w:firstLine="0" w:firstLineChars="0"/>
            </w:pPr>
            <w:r>
              <w:rPr>
                <w:rFonts w:hint="eastAsia"/>
                <w:i w:val="0"/>
                <w:iCs w:val="0"/>
                <w:color w:val="auto"/>
              </w:rPr>
              <w:t>开户行：中国银行深圳公园大地支行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谈判应答</w:t>
            </w:r>
            <w:r>
              <w:rPr>
                <w:rFonts w:hint="eastAsia"/>
              </w:rPr>
              <w:t>担保</w:t>
            </w:r>
          </w:p>
        </w:tc>
        <w:tc>
          <w:tcPr>
            <w:tcW w:w="3758" w:type="pct"/>
            <w:vAlign w:val="center"/>
          </w:tcPr>
          <w:p>
            <w:pPr>
              <w:tabs>
                <w:tab w:val="clear" w:pos="426"/>
              </w:tabs>
              <w:spacing w:line="240" w:lineRule="exact"/>
              <w:jc w:val="left"/>
              <w:rPr>
                <w:szCs w:val="21"/>
              </w:rPr>
            </w:pPr>
            <w:r>
              <w:rPr>
                <w:rFonts w:hint="eastAsia"/>
                <w:szCs w:val="21"/>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谈判应答有效期</w:t>
            </w:r>
          </w:p>
        </w:tc>
        <w:tc>
          <w:tcPr>
            <w:tcW w:w="3758" w:type="pct"/>
            <w:vAlign w:val="center"/>
          </w:tcPr>
          <w:p>
            <w:pPr>
              <w:pStyle w:val="307"/>
            </w:pPr>
            <w:r>
              <w:t>120日历天（</w:t>
            </w:r>
            <w:r>
              <w:rPr>
                <w:rFonts w:hint="eastAsia"/>
              </w:rPr>
              <w:t>从谈判应答截止之日算起</w:t>
            </w:r>
            <w: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替代方案</w:t>
            </w:r>
          </w:p>
        </w:tc>
        <w:tc>
          <w:tcPr>
            <w:tcW w:w="3758" w:type="pct"/>
            <w:vAlign w:val="center"/>
          </w:tcPr>
          <w:p>
            <w:pPr>
              <w:pStyle w:val="307"/>
            </w:pPr>
            <w:r>
              <w:rPr>
                <w:rFonts w:hint="eastAsia"/>
              </w:rPr>
              <w:t>■不允许   口允许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谈判</w:t>
            </w:r>
            <w:r>
              <w:rPr>
                <w:rFonts w:hint="eastAsia"/>
              </w:rPr>
              <w:t>方</w:t>
            </w:r>
            <w:r>
              <w:t>法</w:t>
            </w:r>
          </w:p>
        </w:tc>
        <w:tc>
          <w:tcPr>
            <w:tcW w:w="3758" w:type="pct"/>
            <w:vAlign w:val="center"/>
          </w:tcPr>
          <w:p>
            <w:pPr>
              <w:pStyle w:val="307"/>
              <w:rPr>
                <w:color w:val="000000"/>
              </w:rPr>
            </w:pPr>
            <w:r>
              <w:rPr>
                <w:rFonts w:hint="eastAsia"/>
                <w:color w:val="000000"/>
              </w:rPr>
              <w:t>最低价法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履约保证金</w:t>
            </w:r>
          </w:p>
        </w:tc>
        <w:tc>
          <w:tcPr>
            <w:tcW w:w="3758" w:type="pct"/>
            <w:vAlign w:val="center"/>
          </w:tcPr>
          <w:p>
            <w:pPr>
              <w:tabs>
                <w:tab w:val="clear" w:pos="426"/>
              </w:tabs>
              <w:spacing w:line="240" w:lineRule="exact"/>
            </w:pPr>
            <w:r>
              <w:rPr>
                <w:rFonts w:hint="eastAsia"/>
                <w:szCs w:val="21"/>
              </w:rPr>
              <w:t>■不提交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t>谈判应答文件份数</w:t>
            </w:r>
          </w:p>
        </w:tc>
        <w:tc>
          <w:tcPr>
            <w:tcW w:w="3758" w:type="pct"/>
            <w:vAlign w:val="center"/>
          </w:tcPr>
          <w:p>
            <w:pPr>
              <w:pStyle w:val="307"/>
            </w:pPr>
            <w:r>
              <w:rPr>
                <w:rFonts w:hint="eastAsia"/>
              </w:rPr>
              <w:t>纸质谈判应答文件</w:t>
            </w:r>
            <w:r>
              <w:rPr>
                <w:u w:val="single"/>
              </w:rPr>
              <w:t>一</w:t>
            </w:r>
            <w:r>
              <w:t>正本，</w:t>
            </w:r>
            <w:r>
              <w:rPr>
                <w:u w:val="single"/>
              </w:rPr>
              <w:t>四</w:t>
            </w:r>
            <w:r>
              <w:t>副本</w:t>
            </w:r>
            <w:r>
              <w:rPr>
                <w:rFonts w:hint="eastAsia"/>
              </w:rPr>
              <w:t>，副本可用正本复印件，建议胶装，统一密封在一个外密封包里。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谈判应答文件电子版</w:t>
            </w:r>
          </w:p>
        </w:tc>
        <w:tc>
          <w:tcPr>
            <w:tcW w:w="3758" w:type="pct"/>
            <w:vAlign w:val="center"/>
          </w:tcPr>
          <w:p>
            <w:pPr>
              <w:pStyle w:val="307"/>
            </w:pPr>
            <w:r>
              <w:rPr>
                <w:rFonts w:hint="eastAsia"/>
              </w:rPr>
              <w:t>光盘/</w:t>
            </w:r>
            <w:r>
              <w:t>U</w:t>
            </w:r>
            <w:r>
              <w:rPr>
                <w:rFonts w:hint="eastAsia"/>
              </w:rPr>
              <w:t>盘（谈判应答文件正本盖章后的彩色扫描件，</w:t>
            </w:r>
            <w:r>
              <w:t>PDF格式）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79" w:type="pct"/>
            <w:vAlign w:val="center"/>
          </w:tcPr>
          <w:p>
            <w:pPr>
              <w:pStyle w:val="280"/>
              <w:numPr>
                <w:ilvl w:val="0"/>
                <w:numId w:val="27"/>
              </w:numPr>
              <w:adjustRightInd w:val="0"/>
              <w:snapToGrid w:val="0"/>
              <w:spacing w:line="240" w:lineRule="exact"/>
              <w:ind w:firstLineChars="0"/>
              <w:jc w:val="center"/>
              <w:rPr>
                <w:szCs w:val="21"/>
              </w:rPr>
            </w:pPr>
          </w:p>
        </w:tc>
        <w:tc>
          <w:tcPr>
            <w:tcW w:w="963" w:type="pct"/>
            <w:vAlign w:val="center"/>
          </w:tcPr>
          <w:p>
            <w:pPr>
              <w:tabs>
                <w:tab w:val="clear" w:pos="426"/>
              </w:tabs>
              <w:spacing w:line="240" w:lineRule="exact"/>
            </w:pPr>
            <w:r>
              <w:rPr>
                <w:rFonts w:hint="eastAsia"/>
              </w:rPr>
              <w:t>预算金额</w:t>
            </w:r>
          </w:p>
        </w:tc>
        <w:tc>
          <w:tcPr>
            <w:tcW w:w="3758" w:type="pct"/>
            <w:vAlign w:val="center"/>
          </w:tcPr>
          <w:p>
            <w:pPr>
              <w:pStyle w:val="307"/>
              <w:rPr>
                <w:color w:val="FF0000"/>
              </w:rPr>
            </w:pPr>
            <w:r>
              <w:rPr>
                <w:rFonts w:hint="eastAsia"/>
                <w:b/>
              </w:rPr>
              <w:t>金额：</w:t>
            </w:r>
            <w:r>
              <w:rPr>
                <w:rFonts w:hint="eastAsia"/>
                <w:b/>
                <w:u w:val="single"/>
              </w:rPr>
              <w:t>人民币壹佰伍拾万元整</w:t>
            </w:r>
            <w:r>
              <w:rPr>
                <w:b/>
                <w:u w:val="single"/>
              </w:rPr>
              <w:t>（</w:t>
            </w:r>
            <w:r>
              <w:rPr>
                <w:rFonts w:hint="eastAsia" w:eastAsia="微软雅黑"/>
                <w:b/>
                <w:u w:val="single"/>
              </w:rPr>
              <w:t>¥1</w:t>
            </w:r>
            <w:r>
              <w:rPr>
                <w:rFonts w:hint="eastAsia"/>
                <w:b/>
                <w:u w:val="single"/>
              </w:rPr>
              <w:t>,5</w:t>
            </w:r>
            <w:r>
              <w:rPr>
                <w:b/>
                <w:u w:val="single"/>
              </w:rPr>
              <w:t>00</w:t>
            </w:r>
            <w:r>
              <w:rPr>
                <w:rFonts w:hint="eastAsia"/>
                <w:b/>
                <w:u w:val="single"/>
              </w:rPr>
              <w:t>,</w:t>
            </w:r>
            <w:r>
              <w:rPr>
                <w:b/>
                <w:u w:val="single"/>
              </w:rPr>
              <w:t>000</w:t>
            </w:r>
            <w:r>
              <w:rPr>
                <w:rFonts w:hint="eastAsia"/>
                <w:b/>
                <w:u w:val="single"/>
              </w:rPr>
              <w:t>.00元</w:t>
            </w:r>
            <w:r>
              <w:rPr>
                <w:b/>
                <w:u w:val="single"/>
              </w:rPr>
              <w:t>）</w:t>
            </w:r>
          </w:p>
        </w:tc>
      </w:tr>
    </w:tbl>
    <w:p>
      <w:pPr>
        <w:pStyle w:val="309"/>
        <w:pageBreakBefore/>
      </w:pPr>
      <w:bookmarkStart w:id="17" w:name="_Toc398220525"/>
      <w:bookmarkStart w:id="18" w:name="_Toc432592816"/>
      <w:bookmarkStart w:id="19" w:name="_Hlk73714305"/>
      <w:bookmarkStart w:id="20" w:name="_Toc96519539"/>
      <w:r>
        <w:rPr>
          <w:rFonts w:hint="eastAsia"/>
        </w:rPr>
        <w:t xml:space="preserve">第三章 </w:t>
      </w:r>
      <w:r>
        <w:t>项目</w:t>
      </w:r>
      <w:bookmarkEnd w:id="17"/>
      <w:bookmarkEnd w:id="18"/>
      <w:bookmarkEnd w:id="19"/>
      <w:r>
        <w:rPr>
          <w:rFonts w:hint="eastAsia"/>
        </w:rPr>
        <w:t>需求</w:t>
      </w:r>
      <w:bookmarkEnd w:id="20"/>
    </w:p>
    <w:p>
      <w:pPr>
        <w:pStyle w:val="126"/>
        <w:ind w:firstLine="482"/>
        <w:jc w:val="center"/>
        <w:rPr>
          <w:b/>
        </w:rPr>
      </w:pPr>
      <w:r>
        <w:rPr>
          <w:rFonts w:hint="eastAsia"/>
          <w:b/>
        </w:rPr>
        <w:t>一、项目概况</w:t>
      </w:r>
    </w:p>
    <w:p>
      <w:pPr>
        <w:widowControl w:val="0"/>
        <w:shd w:val="clear" w:color="auto" w:fill="auto"/>
        <w:tabs>
          <w:tab w:val="clear" w:pos="426"/>
        </w:tabs>
        <w:adjustRightInd/>
        <w:snapToGrid/>
        <w:ind w:firstLine="482" w:firstLineChars="200"/>
        <w:rPr>
          <w:b/>
          <w:kern w:val="2"/>
          <w:sz w:val="24"/>
        </w:rPr>
      </w:pPr>
      <w:r>
        <w:rPr>
          <w:rFonts w:hint="eastAsia"/>
          <w:b/>
          <w:kern w:val="2"/>
          <w:sz w:val="24"/>
        </w:rPr>
        <w:t>（一）项目介绍：</w:t>
      </w:r>
    </w:p>
    <w:tbl>
      <w:tblPr>
        <w:tblStyle w:val="44"/>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81"/>
        <w:gridCol w:w="420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序号</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采购计划编号</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采购项目名称</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XRZB202204001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第一届民谣音乐节暨水木年华系列演出活动</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人民币150万元。</w:t>
            </w:r>
          </w:p>
        </w:tc>
      </w:tr>
    </w:tbl>
    <w:p>
      <w:pPr>
        <w:pStyle w:val="126"/>
        <w:ind w:firstLine="420"/>
        <w:rPr>
          <w:rFonts w:ascii="Times New Roman" w:hAnsi="Times New Roman"/>
          <w:sz w:val="21"/>
          <w:szCs w:val="21"/>
        </w:rPr>
      </w:pPr>
      <w:bookmarkStart w:id="21" w:name="_Toc96518628"/>
    </w:p>
    <w:p>
      <w:pPr>
        <w:pStyle w:val="126"/>
        <w:ind w:firstLine="420"/>
        <w:rPr>
          <w:rFonts w:ascii="Times New Roman" w:hAnsi="Times New Roman"/>
          <w:sz w:val="21"/>
          <w:szCs w:val="21"/>
        </w:rPr>
      </w:pPr>
    </w:p>
    <w:p>
      <w:pPr>
        <w:pStyle w:val="126"/>
        <w:ind w:firstLine="420"/>
        <w:rPr>
          <w:rFonts w:ascii="Times New Roman" w:hAnsi="Times New Roman"/>
          <w:sz w:val="21"/>
          <w:szCs w:val="21"/>
        </w:rPr>
      </w:pPr>
    </w:p>
    <w:bookmarkEnd w:id="21"/>
    <w:p>
      <w:pPr>
        <w:widowControl w:val="0"/>
        <w:shd w:val="clear" w:color="auto" w:fill="auto"/>
        <w:tabs>
          <w:tab w:val="clear" w:pos="426"/>
        </w:tabs>
        <w:adjustRightInd/>
        <w:snapToGrid/>
        <w:spacing w:line="410" w:lineRule="exact"/>
        <w:ind w:firstLine="482" w:firstLineChars="200"/>
        <w:rPr>
          <w:b/>
          <w:bCs/>
          <w:kern w:val="2"/>
          <w:sz w:val="24"/>
        </w:rPr>
      </w:pPr>
      <w:r>
        <w:rPr>
          <w:rFonts w:hint="eastAsia"/>
          <w:b/>
          <w:bCs/>
          <w:kern w:val="2"/>
          <w:sz w:val="24"/>
        </w:rPr>
        <w:t>（二）定标原则：</w:t>
      </w:r>
    </w:p>
    <w:p>
      <w:pPr>
        <w:widowControl w:val="0"/>
        <w:shd w:val="clear" w:color="auto" w:fill="auto"/>
        <w:tabs>
          <w:tab w:val="clear" w:pos="426"/>
        </w:tabs>
        <w:adjustRightInd/>
        <w:snapToGrid/>
        <w:spacing w:line="410" w:lineRule="exact"/>
        <w:ind w:firstLine="420"/>
        <w:rPr>
          <w:rFonts w:cs="Times New Roman"/>
          <w:kern w:val="2"/>
          <w:szCs w:val="21"/>
        </w:rPr>
      </w:pPr>
      <w:r>
        <w:rPr>
          <w:rFonts w:hint="eastAsia" w:cs="Times New Roman"/>
          <w:kern w:val="2"/>
          <w:szCs w:val="21"/>
        </w:rPr>
        <w:t>通过单一来源采购确定一家成交供应商。</w:t>
      </w:r>
    </w:p>
    <w:p>
      <w:pPr>
        <w:pStyle w:val="126"/>
        <w:ind w:firstLine="482"/>
        <w:jc w:val="center"/>
        <w:rPr>
          <w:b/>
        </w:rPr>
      </w:pPr>
    </w:p>
    <w:p>
      <w:pPr>
        <w:pStyle w:val="126"/>
        <w:ind w:firstLine="420"/>
        <w:jc w:val="center"/>
        <w:rPr>
          <w:b/>
        </w:rPr>
      </w:pPr>
      <w:bookmarkStart w:id="22" w:name="_Toc96518491"/>
      <w:bookmarkStart w:id="23" w:name="_Toc96518415"/>
      <w:r>
        <w:rPr>
          <w:rFonts w:hint="eastAsia" w:eastAsiaTheme="minorEastAsia"/>
          <w:sz w:val="21"/>
          <w:szCs w:val="21"/>
        </w:rPr>
        <w:t>★</w:t>
      </w:r>
      <w:r>
        <w:rPr>
          <w:rFonts w:hint="eastAsia"/>
          <w:b/>
        </w:rPr>
        <w:t>二、服务需求</w:t>
      </w:r>
      <w:bookmarkEnd w:id="22"/>
      <w:bookmarkEnd w:id="23"/>
    </w:p>
    <w:p>
      <w:pPr>
        <w:pStyle w:val="126"/>
        <w:ind w:firstLine="420"/>
        <w:rPr>
          <w:rFonts w:ascii="宋体" w:hAnsi="宋体"/>
          <w:sz w:val="21"/>
          <w:szCs w:val="21"/>
        </w:rPr>
      </w:pPr>
      <w:bookmarkStart w:id="24" w:name="_Toc96518497"/>
      <w:bookmarkStart w:id="25" w:name="_Toc96518634"/>
      <w:bookmarkStart w:id="26" w:name="_Toc96518421"/>
      <w:r>
        <w:rPr>
          <w:rFonts w:hint="eastAsia" w:ascii="宋体" w:hAnsi="宋体"/>
          <w:sz w:val="21"/>
          <w:szCs w:val="21"/>
        </w:rPr>
        <w:t>（一）服务时间</w:t>
      </w:r>
      <w:r>
        <w:rPr>
          <w:rFonts w:ascii="宋体" w:hAnsi="宋体"/>
          <w:sz w:val="21"/>
          <w:szCs w:val="21"/>
        </w:rPr>
        <w:t xml:space="preserve"> </w:t>
      </w:r>
    </w:p>
    <w:p>
      <w:pPr>
        <w:pStyle w:val="126"/>
        <w:ind w:firstLine="420"/>
        <w:rPr>
          <w:rFonts w:ascii="宋体" w:hAnsi="宋体"/>
          <w:sz w:val="21"/>
          <w:szCs w:val="21"/>
        </w:rPr>
      </w:pPr>
      <w:r>
        <w:rPr>
          <w:rFonts w:ascii="宋体" w:hAnsi="宋体"/>
          <w:sz w:val="21"/>
          <w:szCs w:val="21"/>
        </w:rPr>
        <w:t>2022年4月-10月（根据疫情调整，以实际情况为准）</w:t>
      </w:r>
    </w:p>
    <w:p>
      <w:pPr>
        <w:pStyle w:val="126"/>
        <w:ind w:firstLine="420"/>
        <w:rPr>
          <w:rFonts w:ascii="宋体" w:hAnsi="宋体"/>
          <w:sz w:val="21"/>
          <w:szCs w:val="21"/>
        </w:rPr>
      </w:pPr>
      <w:r>
        <w:rPr>
          <w:rFonts w:hint="eastAsia" w:ascii="宋体" w:hAnsi="宋体"/>
          <w:sz w:val="21"/>
          <w:szCs w:val="21"/>
        </w:rPr>
        <w:t>（二）项目内容及要求</w:t>
      </w:r>
    </w:p>
    <w:p>
      <w:pPr>
        <w:pStyle w:val="126"/>
        <w:ind w:firstLine="420"/>
        <w:rPr>
          <w:rFonts w:ascii="宋体" w:hAnsi="宋体"/>
          <w:sz w:val="21"/>
          <w:szCs w:val="21"/>
        </w:rPr>
      </w:pPr>
      <w:r>
        <w:rPr>
          <w:rFonts w:hint="eastAsia" w:ascii="宋体" w:hAnsi="宋体"/>
          <w:sz w:val="21"/>
          <w:szCs w:val="21"/>
        </w:rPr>
        <w:t>邀请国内知名人文民谣歌唱组合水木年华莅临龙华举办专场音乐会演出活动及系列音乐文化交流活动，具体如下：</w:t>
      </w:r>
    </w:p>
    <w:p>
      <w:pPr>
        <w:pStyle w:val="126"/>
        <w:ind w:firstLine="420"/>
        <w:rPr>
          <w:rFonts w:ascii="宋体" w:hAnsi="宋体"/>
          <w:sz w:val="21"/>
          <w:szCs w:val="21"/>
        </w:rPr>
      </w:pPr>
      <w:r>
        <w:rPr>
          <w:rFonts w:hint="eastAsia" w:ascii="宋体" w:hAnsi="宋体"/>
          <w:sz w:val="21"/>
          <w:szCs w:val="21"/>
        </w:rPr>
        <w:t>1.龙华区民谣音乐节之水木年华专场音乐演出活动</w:t>
      </w:r>
    </w:p>
    <w:p>
      <w:pPr>
        <w:pStyle w:val="126"/>
        <w:ind w:firstLine="42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活动时间:2022年5月（暂定）</w:t>
      </w:r>
    </w:p>
    <w:p>
      <w:pPr>
        <w:pStyle w:val="126"/>
        <w:ind w:firstLine="42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活动地点：龙华文体中心</w:t>
      </w:r>
    </w:p>
    <w:p>
      <w:pPr>
        <w:pStyle w:val="126"/>
        <w:ind w:firstLine="420"/>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活动内容：邀请经典民谣组合水木年华与龙华本土民谣乐队联动，在龙华文体中心举办专场演唱会，为龙华居民演唱《一生有你》《启程》《在他乡》等经典歌曲，带来一场满是回忆的视听盛宴。</w:t>
      </w:r>
    </w:p>
    <w:p>
      <w:pPr>
        <w:pStyle w:val="126"/>
        <w:ind w:firstLine="420"/>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活动人数：500-1000人（需根据防疫政策进行调整）</w:t>
      </w:r>
    </w:p>
    <w:p>
      <w:pPr>
        <w:pStyle w:val="126"/>
        <w:ind w:firstLine="420"/>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采购服务需求：负责活动的组织实施，包括但不限于嘉宾邀请、人员组织（食宿及交通出行）、场地布置（搭台、灯光舞美设计等）、活动宣传等工作。</w:t>
      </w:r>
    </w:p>
    <w:p>
      <w:pPr>
        <w:pStyle w:val="126"/>
        <w:ind w:firstLine="420"/>
        <w:rPr>
          <w:rFonts w:ascii="宋体" w:hAnsi="宋体"/>
          <w:sz w:val="21"/>
          <w:szCs w:val="21"/>
        </w:rPr>
      </w:pPr>
      <w:r>
        <w:rPr>
          <w:rFonts w:hint="eastAsia" w:ascii="宋体" w:hAnsi="宋体"/>
          <w:sz w:val="21"/>
          <w:szCs w:val="21"/>
        </w:rPr>
        <w:t>2.音乐文化交流系列活动</w:t>
      </w:r>
    </w:p>
    <w:p>
      <w:pPr>
        <w:pStyle w:val="126"/>
        <w:ind w:firstLine="42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活动主题：星空下的民谣音乐节</w:t>
      </w:r>
    </w:p>
    <w:p>
      <w:pPr>
        <w:pStyle w:val="126"/>
        <w:ind w:firstLine="42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活动时间:2022年6月-10月（暂定）</w:t>
      </w:r>
    </w:p>
    <w:p>
      <w:pPr>
        <w:pStyle w:val="126"/>
        <w:ind w:firstLine="420"/>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活动场次：3场</w:t>
      </w:r>
    </w:p>
    <w:p>
      <w:pPr>
        <w:pStyle w:val="126"/>
        <w:ind w:firstLine="420"/>
        <w:rPr>
          <w:rFonts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活动地点：上围艺术村、鳌湖艺术村、观澜古墟（暂定）</w:t>
      </w:r>
    </w:p>
    <w:p>
      <w:pPr>
        <w:pStyle w:val="126"/>
        <w:ind w:firstLine="420"/>
        <w:rPr>
          <w:rFonts w:ascii="宋体" w:hAnsi="宋体"/>
          <w:sz w:val="21"/>
          <w:szCs w:val="21"/>
        </w:rPr>
      </w:pPr>
      <w:r>
        <w:rPr>
          <w:rFonts w:ascii="宋体" w:hAnsi="宋体"/>
          <w:sz w:val="21"/>
          <w:szCs w:val="21"/>
        </w:rPr>
        <w:t>5</w:t>
      </w:r>
      <w:r>
        <w:rPr>
          <w:rFonts w:hint="eastAsia" w:ascii="宋体" w:hAnsi="宋体"/>
          <w:sz w:val="21"/>
          <w:szCs w:val="21"/>
        </w:rPr>
        <w:t>）</w:t>
      </w:r>
      <w:r>
        <w:rPr>
          <w:rFonts w:ascii="宋体" w:hAnsi="宋体"/>
          <w:sz w:val="21"/>
          <w:szCs w:val="21"/>
        </w:rPr>
        <w:t>活动内容：邀请水木年华组合缪杰老师在上围艺术村、鳌湖艺术村、观澜古墟等具有龙华特色的建筑开展音乐文化交流活动，搭建音乐艺术家与群众音乐爱好者、龙华本土音乐人才交流及学习的平台，在探讨和交流中促进龙华音乐事业朝着更加人文、创新的方向发展。</w:t>
      </w:r>
    </w:p>
    <w:p>
      <w:pPr>
        <w:pStyle w:val="126"/>
        <w:ind w:firstLine="420"/>
        <w:rPr>
          <w:rFonts w:ascii="宋体" w:hAnsi="宋体"/>
          <w:sz w:val="21"/>
          <w:szCs w:val="21"/>
        </w:rPr>
      </w:pPr>
      <w:r>
        <w:rPr>
          <w:rFonts w:ascii="宋体" w:hAnsi="宋体"/>
          <w:sz w:val="21"/>
          <w:szCs w:val="21"/>
        </w:rPr>
        <w:t>6</w:t>
      </w:r>
      <w:r>
        <w:rPr>
          <w:rFonts w:hint="eastAsia" w:ascii="宋体" w:hAnsi="宋体"/>
          <w:sz w:val="21"/>
          <w:szCs w:val="21"/>
        </w:rPr>
        <w:t>）</w:t>
      </w:r>
      <w:r>
        <w:rPr>
          <w:rFonts w:ascii="宋体" w:hAnsi="宋体"/>
          <w:sz w:val="21"/>
          <w:szCs w:val="21"/>
        </w:rPr>
        <w:t>活动人数：每场约200人（需根据防疫政策进行调整）</w:t>
      </w:r>
    </w:p>
    <w:p>
      <w:pPr>
        <w:pStyle w:val="126"/>
        <w:ind w:firstLine="420"/>
        <w:rPr>
          <w:rFonts w:ascii="宋体" w:hAnsi="宋体"/>
          <w:sz w:val="21"/>
          <w:szCs w:val="21"/>
        </w:rPr>
      </w:pPr>
      <w:r>
        <w:rPr>
          <w:rFonts w:ascii="宋体" w:hAnsi="宋体"/>
          <w:sz w:val="21"/>
          <w:szCs w:val="21"/>
        </w:rPr>
        <w:t>7</w:t>
      </w:r>
      <w:r>
        <w:rPr>
          <w:rFonts w:hint="eastAsia" w:ascii="宋体" w:hAnsi="宋体"/>
          <w:sz w:val="21"/>
          <w:szCs w:val="21"/>
        </w:rPr>
        <w:t>）</w:t>
      </w:r>
      <w:r>
        <w:rPr>
          <w:rFonts w:ascii="宋体" w:hAnsi="宋体"/>
          <w:sz w:val="21"/>
          <w:szCs w:val="21"/>
        </w:rPr>
        <w:t>采购服务需求：负责3场活动的组织实施，包括但不限于人员组织（食宿及交通出行）、场地布置（灯光音响设备租赁、氛围营造等）、活动宣传等工作。</w:t>
      </w:r>
    </w:p>
    <w:p>
      <w:pPr>
        <w:pStyle w:val="126"/>
        <w:ind w:firstLine="420"/>
        <w:rPr>
          <w:rFonts w:ascii="宋体" w:hAnsi="宋体"/>
          <w:sz w:val="21"/>
          <w:szCs w:val="21"/>
        </w:rPr>
      </w:pPr>
      <w:r>
        <w:rPr>
          <w:rFonts w:hint="eastAsia" w:ascii="宋体" w:hAnsi="宋体"/>
          <w:sz w:val="21"/>
          <w:szCs w:val="21"/>
        </w:rPr>
        <w:t>（三）付款方式</w:t>
      </w:r>
      <w:bookmarkEnd w:id="24"/>
      <w:bookmarkEnd w:id="25"/>
      <w:bookmarkEnd w:id="26"/>
    </w:p>
    <w:p>
      <w:pPr>
        <w:pStyle w:val="126"/>
        <w:ind w:firstLine="420"/>
        <w:rPr>
          <w:rFonts w:ascii="宋体" w:hAnsi="宋体"/>
          <w:sz w:val="21"/>
          <w:szCs w:val="21"/>
        </w:rPr>
      </w:pPr>
      <w:r>
        <w:rPr>
          <w:rFonts w:hint="eastAsia" w:ascii="宋体" w:hAnsi="宋体"/>
          <w:sz w:val="21"/>
          <w:szCs w:val="21"/>
        </w:rPr>
        <w:t>按照深圳市龙华区财政局相关规定执行。</w:t>
      </w:r>
      <w:r>
        <w:rPr>
          <w:rFonts w:ascii="宋体" w:hAnsi="宋体"/>
          <w:sz w:val="21"/>
          <w:szCs w:val="21"/>
        </w:rPr>
        <w:t xml:space="preserve"> </w:t>
      </w:r>
    </w:p>
    <w:p>
      <w:pPr>
        <w:pStyle w:val="126"/>
        <w:ind w:firstLine="420"/>
        <w:rPr>
          <w:rFonts w:ascii="宋体" w:hAnsi="宋体"/>
          <w:sz w:val="21"/>
          <w:szCs w:val="21"/>
        </w:rPr>
      </w:pPr>
      <w:bookmarkStart w:id="27" w:name="_Toc96518635"/>
      <w:bookmarkStart w:id="28" w:name="_Toc96518422"/>
      <w:bookmarkStart w:id="29" w:name="_Toc96518498"/>
      <w:r>
        <w:rPr>
          <w:rFonts w:hint="eastAsia" w:ascii="宋体" w:hAnsi="宋体"/>
          <w:sz w:val="21"/>
          <w:szCs w:val="21"/>
        </w:rPr>
        <w:t>（四）注意事项</w:t>
      </w:r>
      <w:bookmarkEnd w:id="27"/>
      <w:bookmarkEnd w:id="28"/>
      <w:bookmarkEnd w:id="29"/>
    </w:p>
    <w:p>
      <w:pPr>
        <w:pStyle w:val="126"/>
        <w:ind w:firstLine="420"/>
        <w:rPr>
          <w:rFonts w:ascii="宋体" w:hAnsi="宋体"/>
          <w:sz w:val="21"/>
          <w:szCs w:val="21"/>
        </w:rPr>
      </w:pPr>
      <w:r>
        <w:rPr>
          <w:rFonts w:hint="eastAsia" w:ascii="宋体" w:hAnsi="宋体"/>
          <w:sz w:val="21"/>
          <w:szCs w:val="21"/>
        </w:rPr>
        <w:t>1、成交人不得将项目非法分包或转包给任何单位和个人。否则，采购单位有权即刻终止合同，并要求成交人赔偿相应损失。</w:t>
      </w:r>
    </w:p>
    <w:p>
      <w:pPr>
        <w:pStyle w:val="126"/>
        <w:ind w:firstLine="420"/>
        <w:rPr>
          <w:rFonts w:ascii="宋体" w:hAnsi="宋体"/>
          <w:sz w:val="21"/>
          <w:szCs w:val="21"/>
        </w:rPr>
      </w:pPr>
      <w:r>
        <w:rPr>
          <w:rFonts w:hint="eastAsia" w:ascii="宋体" w:hAnsi="宋体"/>
          <w:sz w:val="21"/>
          <w:szCs w:val="21"/>
        </w:rPr>
        <w:t>2、如谈判应答人提交伪造资质证书、合同文件等谈判应答文件的，一经发现将报政府采购主管部门按有关规定进行处理。</w:t>
      </w:r>
    </w:p>
    <w:p>
      <w:pPr>
        <w:widowControl w:val="0"/>
        <w:shd w:val="clear" w:color="auto" w:fill="auto"/>
        <w:tabs>
          <w:tab w:val="clear" w:pos="426"/>
        </w:tabs>
        <w:adjustRightInd/>
        <w:snapToGrid/>
        <w:rPr>
          <w:bCs/>
          <w:kern w:val="2"/>
          <w:szCs w:val="21"/>
        </w:rPr>
      </w:pPr>
    </w:p>
    <w:p>
      <w:pPr>
        <w:pStyle w:val="126"/>
        <w:ind w:firstLine="482"/>
        <w:jc w:val="center"/>
        <w:rPr>
          <w:b/>
        </w:rPr>
      </w:pPr>
      <w:bookmarkStart w:id="30" w:name="_Toc96518506"/>
      <w:bookmarkStart w:id="31" w:name="_Toc96518643"/>
      <w:r>
        <w:rPr>
          <w:rFonts w:hint="eastAsia"/>
          <w:b/>
        </w:rPr>
        <w:t>三、实质性条款</w:t>
      </w:r>
      <w:bookmarkEnd w:id="30"/>
      <w:bookmarkEnd w:id="31"/>
    </w:p>
    <w:tbl>
      <w:tblPr>
        <w:tblStyle w:val="4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pStyle w:val="126"/>
              <w:ind w:firstLine="0" w:firstLineChars="0"/>
              <w:rPr>
                <w:sz w:val="21"/>
                <w:szCs w:val="21"/>
              </w:rPr>
            </w:pPr>
            <w:r>
              <w:rPr>
                <w:rFonts w:hint="eastAsia"/>
                <w:sz w:val="21"/>
                <w:szCs w:val="21"/>
              </w:rPr>
              <w:t>序号</w:t>
            </w:r>
          </w:p>
        </w:tc>
        <w:tc>
          <w:tcPr>
            <w:tcW w:w="7483" w:type="dxa"/>
          </w:tcPr>
          <w:p>
            <w:pPr>
              <w:pStyle w:val="126"/>
              <w:ind w:firstLine="420"/>
              <w:rPr>
                <w:sz w:val="21"/>
                <w:szCs w:val="21"/>
              </w:rPr>
            </w:pPr>
            <w:r>
              <w:rPr>
                <w:rFonts w:hint="eastAsia"/>
                <w:sz w:val="21"/>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tcPr>
          <w:p>
            <w:pPr>
              <w:pStyle w:val="126"/>
              <w:ind w:firstLine="199" w:firstLineChars="95"/>
              <w:rPr>
                <w:sz w:val="21"/>
                <w:szCs w:val="21"/>
              </w:rPr>
            </w:pPr>
            <w:r>
              <w:rPr>
                <w:rFonts w:hint="eastAsia"/>
                <w:sz w:val="21"/>
                <w:szCs w:val="21"/>
              </w:rPr>
              <w:t>1</w:t>
            </w:r>
          </w:p>
        </w:tc>
        <w:tc>
          <w:tcPr>
            <w:tcW w:w="7483" w:type="dxa"/>
          </w:tcPr>
          <w:p>
            <w:pPr>
              <w:pStyle w:val="126"/>
              <w:ind w:firstLine="420"/>
              <w:rPr>
                <w:rFonts w:eastAsiaTheme="minorEastAsia"/>
                <w:sz w:val="21"/>
                <w:szCs w:val="21"/>
              </w:rPr>
            </w:pPr>
            <w:r>
              <w:rPr>
                <w:rFonts w:hint="eastAsia" w:eastAsiaTheme="minorEastAsia"/>
                <w:sz w:val="21"/>
                <w:szCs w:val="21"/>
              </w:rPr>
              <w:t>采购文件规定的带★部分</w:t>
            </w:r>
          </w:p>
        </w:tc>
      </w:tr>
    </w:tbl>
    <w:p>
      <w:pPr>
        <w:pStyle w:val="126"/>
        <w:ind w:firstLine="0" w:firstLineChars="0"/>
        <w:rPr>
          <w:b/>
        </w:rPr>
      </w:pPr>
      <w:bookmarkStart w:id="32" w:name="_Toc96518507"/>
      <w:bookmarkStart w:id="33" w:name="_Toc96518644"/>
      <w:r>
        <w:rPr>
          <w:rFonts w:hint="eastAsia"/>
          <w:b/>
        </w:rPr>
        <w:t>注：上表所列内容为不可负偏离条款，负偏离将视为未实质性满足采购文件要求作谈判应答无效处理。</w:t>
      </w:r>
      <w:bookmarkEnd w:id="32"/>
      <w:bookmarkEnd w:id="33"/>
      <w:r>
        <w:rPr>
          <w:b/>
        </w:rPr>
        <w:br w:type="page"/>
      </w:r>
    </w:p>
    <w:p>
      <w:pPr>
        <w:pStyle w:val="309"/>
        <w:pageBreakBefore/>
      </w:pPr>
      <w:bookmarkStart w:id="34" w:name="_Toc96519540"/>
      <w:r>
        <w:rPr>
          <w:rFonts w:hint="eastAsia"/>
        </w:rPr>
        <w:t>第四章 政府采购合同的签订、履约及验收</w:t>
      </w:r>
      <w:bookmarkEnd w:id="34"/>
    </w:p>
    <w:p>
      <w:pPr>
        <w:pStyle w:val="321"/>
      </w:pPr>
      <w:r>
        <w:rPr>
          <w:rFonts w:hint="eastAsia"/>
        </w:rPr>
        <w:t>一、重要提示</w:t>
      </w:r>
    </w:p>
    <w:p>
      <w:pPr>
        <w:pStyle w:val="305"/>
      </w:pPr>
      <w:bookmarkStart w:id="35" w:name="_Hlk2096823"/>
      <w:r>
        <w:t>成交人将于成交通知书发出之日起十个工作日内，按照采购文件和谈判应答文件内容与采购单位签订书面合同，合同书</w:t>
      </w:r>
      <w:r>
        <w:rPr>
          <w:rFonts w:hint="eastAsia"/>
        </w:rPr>
        <w:t>可参考</w:t>
      </w:r>
      <w:r>
        <w:t>本采购文件规定的合同样本</w:t>
      </w:r>
      <w:r>
        <w:rPr>
          <w:rFonts w:hint="eastAsia"/>
        </w:rPr>
        <w:t>，有专业类别的格式合同范本请选择相应的合同。</w:t>
      </w:r>
    </w:p>
    <w:p>
      <w:pPr>
        <w:pStyle w:val="305"/>
      </w:pPr>
      <w:r>
        <w:t>成交人应当按照合同约定履行义务，完成成交项目，不得将成交项目转让（转包）给他人</w:t>
      </w:r>
      <w:r>
        <w:rPr>
          <w:rFonts w:hint="eastAsia"/>
        </w:rPr>
        <w:t>。</w:t>
      </w:r>
    </w:p>
    <w:p>
      <w:pPr>
        <w:pStyle w:val="305"/>
        <w:rPr>
          <w:rFonts w:ascii="Times New Roman" w:hAnsi="Times New Roman"/>
          <w:sz w:val="24"/>
        </w:rPr>
      </w:pPr>
      <w:r>
        <w:t>采购人与成交人应于合同签订之日起10日内，由采购人或委托成交人将采购合同副本抄送政府集中采购机构备案。</w:t>
      </w:r>
    </w:p>
    <w:p>
      <w:pPr>
        <w:pStyle w:val="305"/>
      </w:pPr>
      <w:r>
        <w:t>《深圳经济特区政府采购条例》第五十七条规定：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pStyle w:val="305"/>
      </w:pPr>
      <w:r>
        <w:t>1.在采购活动中应当回避而未回避的；</w:t>
      </w:r>
    </w:p>
    <w:p>
      <w:pPr>
        <w:pStyle w:val="305"/>
        <w:ind w:firstLine="422"/>
        <w:rPr>
          <w:b/>
        </w:rPr>
      </w:pPr>
      <w:r>
        <w:rPr>
          <w:b/>
        </w:rPr>
        <w:t>2.未按本条例规定签订、履行采购合同，造成严重后果的；</w:t>
      </w:r>
    </w:p>
    <w:p>
      <w:pPr>
        <w:pStyle w:val="305"/>
      </w:pPr>
      <w:r>
        <w:t>3.隐瞒真实情况，提供虚假资料的；</w:t>
      </w:r>
    </w:p>
    <w:p>
      <w:pPr>
        <w:pStyle w:val="305"/>
      </w:pPr>
      <w:r>
        <w:t>4.以非法手段排斥其他供应商参与竞争的；</w:t>
      </w:r>
    </w:p>
    <w:p>
      <w:pPr>
        <w:pStyle w:val="305"/>
      </w:pPr>
      <w:r>
        <w:t>5.与其他采购参加人串通谈判应答的；</w:t>
      </w:r>
    </w:p>
    <w:p>
      <w:pPr>
        <w:pStyle w:val="305"/>
      </w:pPr>
      <w:r>
        <w:t>6.恶意投诉的；</w:t>
      </w:r>
    </w:p>
    <w:p>
      <w:pPr>
        <w:pStyle w:val="305"/>
      </w:pPr>
      <w:r>
        <w:t>7.向采购项目相关人行贿或者提供其他不当利益的；</w:t>
      </w:r>
    </w:p>
    <w:p>
      <w:pPr>
        <w:pStyle w:val="305"/>
      </w:pPr>
      <w:r>
        <w:t>8.阻碍、抗拒主管部门监督检查的；</w:t>
      </w:r>
    </w:p>
    <w:p>
      <w:pPr>
        <w:pStyle w:val="305"/>
      </w:pPr>
      <w:r>
        <w:t>9.其他违反本条例规定的行为。</w:t>
      </w:r>
    </w:p>
    <w:p>
      <w:pPr>
        <w:pStyle w:val="305"/>
        <w:rPr>
          <w:rFonts w:ascii="Times New Roman" w:hAnsi="Times New Roman"/>
          <w:sz w:val="24"/>
        </w:rPr>
      </w:pPr>
      <w:r>
        <w:t>供应商必须诚信谈判应答，对项目需求进行实质性响应。</w:t>
      </w:r>
      <w:bookmarkEnd w:id="35"/>
    </w:p>
    <w:p>
      <w:pPr>
        <w:pStyle w:val="297"/>
        <w:ind w:firstLine="420"/>
      </w:pPr>
    </w:p>
    <w:p>
      <w:pPr>
        <w:widowControl w:val="0"/>
        <w:shd w:val="clear" w:color="auto" w:fill="auto"/>
        <w:tabs>
          <w:tab w:val="clear" w:pos="426"/>
        </w:tabs>
        <w:spacing w:line="240" w:lineRule="auto"/>
        <w:ind w:firstLine="420" w:firstLineChars="200"/>
        <w:rPr>
          <w:rFonts w:cs="Times New Roman"/>
          <w:kern w:val="2"/>
          <w:szCs w:val="21"/>
        </w:rPr>
      </w:pPr>
    </w:p>
    <w:p>
      <w:pPr>
        <w:widowControl w:val="0"/>
        <w:shd w:val="clear" w:color="auto" w:fill="auto"/>
        <w:tabs>
          <w:tab w:val="clear" w:pos="426"/>
        </w:tabs>
        <w:spacing w:line="240" w:lineRule="auto"/>
        <w:ind w:firstLine="420" w:firstLineChars="200"/>
        <w:rPr>
          <w:rFonts w:cs="Times New Roman"/>
          <w:kern w:val="2"/>
          <w:szCs w:val="21"/>
        </w:rPr>
      </w:pPr>
    </w:p>
    <w:p>
      <w:pPr>
        <w:shd w:val="clear" w:color="auto" w:fill="auto"/>
        <w:tabs>
          <w:tab w:val="clear" w:pos="426"/>
        </w:tabs>
        <w:spacing w:line="240" w:lineRule="auto"/>
        <w:jc w:val="left"/>
        <w:rPr>
          <w:rFonts w:ascii="Arial" w:hAnsi="Arial" w:eastAsia="黑体" w:cs="Times New Roman"/>
          <w:b/>
          <w:bCs/>
          <w:kern w:val="2"/>
          <w:sz w:val="28"/>
          <w:szCs w:val="28"/>
        </w:rPr>
      </w:pPr>
      <w:r>
        <w:rPr>
          <w:rFonts w:ascii="Arial" w:hAnsi="Arial" w:eastAsia="黑体" w:cs="Times New Roman"/>
          <w:b/>
          <w:bCs/>
          <w:kern w:val="2"/>
          <w:sz w:val="28"/>
          <w:szCs w:val="28"/>
        </w:rPr>
        <w:br w:type="page"/>
      </w:r>
    </w:p>
    <w:p>
      <w:pPr>
        <w:pStyle w:val="321"/>
        <w:pageBreakBefore/>
        <w:rPr>
          <w:b w:val="0"/>
        </w:rPr>
      </w:pPr>
      <w:r>
        <w:rPr>
          <w:rFonts w:hint="eastAsia"/>
        </w:rPr>
        <w:t>二、合同条款及格式</w:t>
      </w:r>
      <w:r>
        <w:rPr>
          <w:rFonts w:hint="eastAsia"/>
          <w:b w:val="0"/>
        </w:rPr>
        <w:t>（仅供参考）</w:t>
      </w:r>
    </w:p>
    <w:p>
      <w:pPr>
        <w:tabs>
          <w:tab w:val="clear" w:pos="426"/>
        </w:tabs>
        <w:jc w:val="center"/>
        <w:rPr>
          <w:b/>
          <w:sz w:val="24"/>
        </w:rPr>
      </w:pPr>
      <w:r>
        <w:rPr>
          <w:rFonts w:hint="eastAsia"/>
          <w:b/>
          <w:sz w:val="24"/>
        </w:rPr>
        <w:t>有专业类别的格式合同范本请选择相应的合同</w:t>
      </w:r>
    </w:p>
    <w:p>
      <w:pPr>
        <w:tabs>
          <w:tab w:val="clear" w:pos="426"/>
        </w:tabs>
        <w:jc w:val="center"/>
        <w:rPr>
          <w:b/>
          <w:sz w:val="24"/>
        </w:rPr>
      </w:pPr>
      <w:r>
        <w:rPr>
          <w:rFonts w:hint="eastAsia"/>
          <w:b/>
          <w:sz w:val="24"/>
        </w:rPr>
        <w:t>（仅供参考）</w:t>
      </w:r>
    </w:p>
    <w:p>
      <w:pPr>
        <w:widowControl w:val="0"/>
        <w:shd w:val="clear" w:color="auto" w:fill="auto"/>
        <w:tabs>
          <w:tab w:val="clear" w:pos="426"/>
        </w:tabs>
        <w:spacing w:line="240" w:lineRule="auto"/>
        <w:rPr>
          <w:rFonts w:cs="Times New Roman"/>
          <w:b/>
          <w:bCs/>
          <w:kern w:val="2"/>
          <w:szCs w:val="21"/>
        </w:rPr>
      </w:pPr>
      <w:r>
        <w:rPr>
          <w:rFonts w:hint="eastAsia" w:cs="Times New Roman"/>
          <w:b/>
          <w:bCs/>
          <w:kern w:val="2"/>
          <w:szCs w:val="21"/>
        </w:rPr>
        <w:t>甲方：</w:t>
      </w:r>
      <w:r>
        <w:rPr>
          <w:rFonts w:cs="Times New Roman"/>
          <w:b/>
          <w:bCs/>
          <w:kern w:val="2"/>
          <w:szCs w:val="21"/>
          <w:u w:val="single"/>
        </w:rPr>
        <w:t>_</w:t>
      </w:r>
      <w:r>
        <w:rPr>
          <w:rFonts w:hint="eastAsia" w:cs="Times New Roman"/>
          <w:b/>
          <w:bCs/>
          <w:kern w:val="2"/>
          <w:szCs w:val="21"/>
          <w:u w:val="single"/>
        </w:rPr>
        <w:t>_</w:t>
      </w:r>
      <w:r>
        <w:rPr>
          <w:rFonts w:cs="Times New Roman"/>
          <w:b/>
          <w:bCs/>
          <w:kern w:val="2"/>
          <w:szCs w:val="21"/>
          <w:u w:val="single"/>
        </w:rPr>
        <w:t>______</w:t>
      </w:r>
    </w:p>
    <w:p>
      <w:pPr>
        <w:widowControl w:val="0"/>
        <w:shd w:val="clear" w:color="auto" w:fill="auto"/>
        <w:tabs>
          <w:tab w:val="clear" w:pos="426"/>
        </w:tabs>
        <w:spacing w:line="240" w:lineRule="auto"/>
        <w:rPr>
          <w:rFonts w:cs="Times New Roman"/>
          <w:b/>
          <w:bCs/>
          <w:kern w:val="2"/>
          <w:szCs w:val="21"/>
        </w:rPr>
      </w:pPr>
      <w:r>
        <w:rPr>
          <w:rFonts w:hint="eastAsia" w:cs="Times New Roman"/>
          <w:b/>
          <w:bCs/>
          <w:kern w:val="2"/>
          <w:szCs w:val="21"/>
        </w:rPr>
        <w:t>乙方：</w:t>
      </w:r>
      <w:r>
        <w:rPr>
          <w:rFonts w:cs="Times New Roman"/>
          <w:b/>
          <w:bCs/>
          <w:kern w:val="2"/>
          <w:szCs w:val="21"/>
          <w:u w:val="single"/>
        </w:rPr>
        <w:t>________</w:t>
      </w:r>
    </w:p>
    <w:p>
      <w:pPr>
        <w:widowControl w:val="0"/>
        <w:shd w:val="clear" w:color="auto" w:fill="auto"/>
        <w:tabs>
          <w:tab w:val="clear" w:pos="426"/>
        </w:tabs>
        <w:spacing w:line="240" w:lineRule="auto"/>
        <w:rPr>
          <w:rFonts w:cs="Times New Roman"/>
          <w:kern w:val="2"/>
          <w:szCs w:val="21"/>
        </w:rPr>
      </w:pPr>
    </w:p>
    <w:p>
      <w:pPr>
        <w:widowControl w:val="0"/>
        <w:shd w:val="clear" w:color="auto" w:fill="auto"/>
        <w:tabs>
          <w:tab w:val="clear" w:pos="426"/>
        </w:tabs>
        <w:spacing w:line="240" w:lineRule="auto"/>
        <w:rPr>
          <w:rFonts w:cs="Times New Roman"/>
          <w:kern w:val="2"/>
          <w:szCs w:val="21"/>
        </w:rPr>
      </w:pP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根据本项目的谈判应答结果，由</w:t>
      </w:r>
      <w:r>
        <w:rPr>
          <w:rFonts w:hint="eastAsia" w:cs="Times New Roman"/>
          <w:kern w:val="2"/>
          <w:szCs w:val="21"/>
          <w:u w:val="single"/>
        </w:rPr>
        <w:t>_____________</w:t>
      </w:r>
      <w:r>
        <w:rPr>
          <w:rFonts w:hint="eastAsia" w:cs="Times New Roman"/>
          <w:kern w:val="2"/>
          <w:szCs w:val="21"/>
        </w:rPr>
        <w:t>单位为成交方。按照《中华人民共和国民法典》和《深圳经济特区政府采购条例》，经深圳市</w:t>
      </w:r>
      <w:r>
        <w:rPr>
          <w:rFonts w:hint="eastAsia" w:cs="Times New Roman"/>
          <w:kern w:val="2"/>
          <w:szCs w:val="21"/>
          <w:u w:val="single"/>
        </w:rPr>
        <w:t>_________</w:t>
      </w:r>
      <w:r>
        <w:rPr>
          <w:rFonts w:hint="eastAsia" w:cs="Times New Roman"/>
          <w:kern w:val="2"/>
          <w:szCs w:val="21"/>
        </w:rPr>
        <w:t>（以下简称甲方）和</w:t>
      </w:r>
      <w:r>
        <w:rPr>
          <w:rFonts w:hint="eastAsia" w:cs="Times New Roman"/>
          <w:kern w:val="2"/>
          <w:szCs w:val="21"/>
          <w:u w:val="single"/>
        </w:rPr>
        <w:t>__________________________</w:t>
      </w:r>
      <w:r>
        <w:rPr>
          <w:rFonts w:hint="eastAsia" w:cs="Times New Roman"/>
          <w:kern w:val="2"/>
          <w:szCs w:val="21"/>
        </w:rPr>
        <w:t>单位（以下简称乙方）协商，就甲方委托乙方承担</w:t>
      </w:r>
      <w:r>
        <w:rPr>
          <w:rFonts w:hint="eastAsia" w:cs="Times New Roman"/>
          <w:b/>
          <w:bCs/>
          <w:snapToGrid w:val="0"/>
          <w:szCs w:val="21"/>
          <w:u w:val="single"/>
          <w:lang w:val="zh-CN"/>
        </w:rPr>
        <w:t>______________________服务项目</w:t>
      </w:r>
      <w:r>
        <w:rPr>
          <w:rFonts w:hint="eastAsia" w:cs="Times New Roman"/>
          <w:kern w:val="2"/>
          <w:szCs w:val="21"/>
        </w:rPr>
        <w:t>，达成以下合同条款：</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第一条　项目概况</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项目名称：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项目内容：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服务时间：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合同价款：合同总价为</w:t>
      </w:r>
      <w:r>
        <w:rPr>
          <w:rFonts w:hint="eastAsia" w:cs="Times New Roman"/>
          <w:kern w:val="2"/>
          <w:szCs w:val="21"/>
          <w:u w:val="single"/>
        </w:rPr>
        <w:t>_________</w:t>
      </w:r>
      <w:r>
        <w:rPr>
          <w:rFonts w:hint="eastAsia" w:cs="Times New Roman"/>
          <w:kern w:val="2"/>
          <w:szCs w:val="21"/>
        </w:rPr>
        <w:t>元，含一切税、费。</w:t>
      </w:r>
      <w:r>
        <w:rPr>
          <w:rFonts w:ascii="Times New Roman" w:hAnsi="Times New Roman" w:cs="Times New Roman"/>
          <w:kern w:val="2"/>
        </w:rPr>
        <w:t>本合同总价包括</w:t>
      </w:r>
      <w:r>
        <w:rPr>
          <w:rFonts w:hint="eastAsia" w:cs="Times New Roman"/>
          <w:kern w:val="2"/>
          <w:szCs w:val="21"/>
        </w:rPr>
        <w:t>乙方为实施本项目荷载试验所需的设备仪器费、车辆租赁费、</w:t>
      </w:r>
      <w:r>
        <w:rPr>
          <w:rFonts w:ascii="Times New Roman" w:hAnsi="Times New Roman" w:cs="Times New Roman"/>
          <w:kern w:val="2"/>
        </w:rPr>
        <w:t>服务</w:t>
      </w:r>
      <w:r>
        <w:rPr>
          <w:rFonts w:hint="eastAsia" w:ascii="Times New Roman" w:hAnsi="Times New Roman" w:cs="Times New Roman"/>
          <w:kern w:val="2"/>
        </w:rPr>
        <w:t>和</w:t>
      </w:r>
      <w:r>
        <w:rPr>
          <w:rFonts w:ascii="Times New Roman" w:hAnsi="Times New Roman" w:cs="Times New Roman"/>
          <w:kern w:val="2"/>
        </w:rPr>
        <w:t>技术费用</w:t>
      </w:r>
      <w:r>
        <w:rPr>
          <w:rFonts w:hint="eastAsia" w:ascii="Times New Roman" w:hAnsi="Times New Roman" w:cs="Times New Roman"/>
          <w:kern w:val="2"/>
        </w:rPr>
        <w:t>等</w:t>
      </w:r>
      <w:r>
        <w:rPr>
          <w:rFonts w:ascii="Times New Roman" w:hAnsi="Times New Roman" w:cs="Times New Roman"/>
          <w:kern w:val="2"/>
        </w:rPr>
        <w:t>，为固定不变价格，且不随通货膨胀的影响而波动。合同总价包括</w:t>
      </w:r>
      <w:r>
        <w:rPr>
          <w:rFonts w:hint="eastAsia" w:cs="Times New Roman"/>
          <w:kern w:val="2"/>
          <w:szCs w:val="21"/>
        </w:rPr>
        <w:t>乙方</w:t>
      </w:r>
      <w:r>
        <w:rPr>
          <w:rFonts w:ascii="Times New Roman" w:hAnsi="Times New Roman" w:cs="Times New Roman"/>
          <w:kern w:val="2"/>
        </w:rPr>
        <w:t>履行本合同义务所发生的一切费用和支出和以各种方式寄送技术资料到</w:t>
      </w:r>
      <w:r>
        <w:rPr>
          <w:rFonts w:hint="eastAsia" w:ascii="Times New Roman" w:hAnsi="Times New Roman" w:cs="Times New Roman"/>
          <w:kern w:val="2"/>
        </w:rPr>
        <w:t>甲</w:t>
      </w:r>
      <w:r>
        <w:rPr>
          <w:rFonts w:ascii="Times New Roman" w:hAnsi="Times New Roman" w:cs="Times New Roman"/>
          <w:kern w:val="2"/>
        </w:rPr>
        <w:t>方办公室所发生的费用。如发生本合同规定的不可抗力，合同总价可经双方友好协商予以调整。</w:t>
      </w:r>
    </w:p>
    <w:p>
      <w:pPr>
        <w:widowControl w:val="0"/>
        <w:shd w:val="clear" w:color="auto" w:fill="auto"/>
        <w:tabs>
          <w:tab w:val="clear" w:pos="426"/>
        </w:tabs>
        <w:spacing w:line="240" w:lineRule="auto"/>
        <w:ind w:firstLine="420"/>
        <w:rPr>
          <w:rFonts w:cs="Times New Roman"/>
          <w:kern w:val="2"/>
          <w:szCs w:val="21"/>
        </w:rPr>
      </w:pPr>
      <w:r>
        <w:rPr>
          <w:rFonts w:hint="eastAsia" w:cs="Times New Roman"/>
          <w:kern w:val="2"/>
          <w:szCs w:val="21"/>
        </w:rPr>
        <w:t>支付方式：分期支付。</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第二条  服务范围</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1.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2.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3.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 其他合同未明示的相关工作。</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第三条  时间要求及阶段成果</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1.合同签订</w:t>
      </w:r>
      <w:r>
        <w:rPr>
          <w:rFonts w:hint="eastAsia" w:cs="Times New Roman"/>
          <w:kern w:val="2"/>
          <w:szCs w:val="21"/>
          <w:u w:val="single"/>
        </w:rPr>
        <w:t>___</w:t>
      </w:r>
      <w:r>
        <w:rPr>
          <w:rFonts w:hint="eastAsia" w:cs="Times New Roman"/>
          <w:kern w:val="2"/>
          <w:szCs w:val="21"/>
        </w:rPr>
        <w:t>天内完成项目实施的准备工作，包括工作大纲和试验细则的编制；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 xml:space="preserve">2.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第四条  咨询服务资料归属</w:t>
      </w:r>
    </w:p>
    <w:p>
      <w:pPr>
        <w:widowControl w:val="0"/>
        <w:shd w:val="clear" w:color="auto" w:fill="auto"/>
        <w:tabs>
          <w:tab w:val="clear" w:pos="426"/>
        </w:tabs>
        <w:spacing w:line="240" w:lineRule="auto"/>
        <w:ind w:firstLine="420" w:firstLineChars="200"/>
        <w:rPr>
          <w:rFonts w:ascii="Times New Roman" w:hAnsi="Times New Roman" w:cs="Times New Roman"/>
          <w:kern w:val="2"/>
        </w:rPr>
      </w:pPr>
      <w:r>
        <w:rPr>
          <w:rFonts w:ascii="Times New Roman" w:hAnsi="Times New Roman" w:cs="Times New Roman"/>
          <w:kern w:val="2"/>
        </w:rPr>
        <w:t>1.所有提交给</w:t>
      </w:r>
      <w:r>
        <w:rPr>
          <w:rFonts w:hint="eastAsia" w:ascii="Times New Roman" w:hAnsi="Times New Roman" w:cs="Times New Roman"/>
          <w:kern w:val="2"/>
        </w:rPr>
        <w:t>甲</w:t>
      </w:r>
      <w:r>
        <w:rPr>
          <w:rFonts w:ascii="Times New Roman" w:hAnsi="Times New Roman" w:cs="Times New Roman"/>
          <w:kern w:val="2"/>
        </w:rPr>
        <w:t>方的咨询服务</w:t>
      </w:r>
      <w:r>
        <w:rPr>
          <w:rFonts w:hint="eastAsia" w:ascii="Times New Roman" w:hAnsi="Times New Roman" w:cs="Times New Roman"/>
          <w:kern w:val="2"/>
        </w:rPr>
        <w:t>文件</w:t>
      </w:r>
      <w:r>
        <w:rPr>
          <w:rFonts w:ascii="Times New Roman" w:hAnsi="Times New Roman" w:cs="Times New Roman"/>
          <w:kern w:val="2"/>
        </w:rPr>
        <w:t>及相关的资料的最后文本，包括为履行技术咨询服务范围所编制的图纸、计划和证明资料等，都属于</w:t>
      </w:r>
      <w:r>
        <w:rPr>
          <w:rFonts w:hint="eastAsia" w:ascii="Times New Roman" w:hAnsi="Times New Roman" w:cs="Times New Roman"/>
          <w:kern w:val="2"/>
        </w:rPr>
        <w:t>甲</w:t>
      </w:r>
      <w:r>
        <w:rPr>
          <w:rFonts w:ascii="Times New Roman" w:hAnsi="Times New Roman" w:cs="Times New Roman"/>
          <w:kern w:val="2"/>
        </w:rPr>
        <w:t>方的财产，</w:t>
      </w:r>
      <w:r>
        <w:rPr>
          <w:rFonts w:hint="eastAsia" w:cs="Times New Roman"/>
          <w:kern w:val="2"/>
          <w:szCs w:val="21"/>
        </w:rPr>
        <w:t>乙</w:t>
      </w:r>
      <w:r>
        <w:rPr>
          <w:rFonts w:ascii="Times New Roman" w:hAnsi="Times New Roman" w:cs="Times New Roman"/>
          <w:kern w:val="2"/>
        </w:rPr>
        <w:t>方在提交给</w:t>
      </w:r>
      <w:r>
        <w:rPr>
          <w:rFonts w:hint="eastAsia" w:ascii="Times New Roman" w:hAnsi="Times New Roman" w:cs="Times New Roman"/>
          <w:kern w:val="2"/>
        </w:rPr>
        <w:t>甲</w:t>
      </w:r>
      <w:r>
        <w:rPr>
          <w:rFonts w:ascii="Times New Roman" w:hAnsi="Times New Roman" w:cs="Times New Roman"/>
          <w:kern w:val="2"/>
        </w:rPr>
        <w:t>方之前应将上述资料进行整理归类和编制索引</w:t>
      </w:r>
      <w:r>
        <w:rPr>
          <w:rFonts w:hint="eastAsia" w:ascii="Times New Roman" w:hAnsi="Times New Roman" w:cs="Times New Roman"/>
          <w:kern w:val="2"/>
        </w:rPr>
        <w:t>。</w:t>
      </w:r>
    </w:p>
    <w:p>
      <w:pPr>
        <w:widowControl w:val="0"/>
        <w:shd w:val="clear" w:color="auto" w:fill="auto"/>
        <w:tabs>
          <w:tab w:val="clear" w:pos="426"/>
        </w:tabs>
        <w:spacing w:line="240" w:lineRule="auto"/>
        <w:ind w:firstLine="420" w:firstLineChars="200"/>
        <w:rPr>
          <w:rFonts w:ascii="Times New Roman" w:hAnsi="Times New Roman" w:cs="Times New Roman"/>
          <w:kern w:val="2"/>
        </w:rPr>
      </w:pPr>
      <w:r>
        <w:rPr>
          <w:rFonts w:ascii="Times New Roman" w:hAnsi="Times New Roman" w:cs="Times New Roman"/>
          <w:kern w:val="2"/>
        </w:rPr>
        <w:t>2.</w:t>
      </w:r>
      <w:r>
        <w:rPr>
          <w:rFonts w:hint="eastAsia" w:cs="Times New Roman"/>
          <w:kern w:val="2"/>
          <w:szCs w:val="21"/>
        </w:rPr>
        <w:t>乙</w:t>
      </w:r>
      <w:r>
        <w:rPr>
          <w:rFonts w:ascii="Times New Roman" w:hAnsi="Times New Roman" w:cs="Times New Roman"/>
          <w:kern w:val="2"/>
        </w:rPr>
        <w:t>方未经</w:t>
      </w:r>
      <w:r>
        <w:rPr>
          <w:rFonts w:hint="eastAsia" w:ascii="Times New Roman" w:hAnsi="Times New Roman" w:cs="Times New Roman"/>
          <w:kern w:val="2"/>
        </w:rPr>
        <w:t>甲</w:t>
      </w:r>
      <w:r>
        <w:rPr>
          <w:rFonts w:ascii="Times New Roman" w:hAnsi="Times New Roman" w:cs="Times New Roman"/>
          <w:kern w:val="2"/>
        </w:rPr>
        <w:t>方的书面同意，不得将上述资料用于与本咨询服务项目之外的任何项目</w:t>
      </w:r>
      <w:r>
        <w:rPr>
          <w:rFonts w:hint="eastAsia" w:ascii="Times New Roman" w:hAnsi="Times New Roman" w:cs="Times New Roman"/>
          <w:kern w:val="2"/>
        </w:rPr>
        <w:t>。</w:t>
      </w:r>
    </w:p>
    <w:p>
      <w:pPr>
        <w:widowControl w:val="0"/>
        <w:shd w:val="clear" w:color="auto" w:fill="auto"/>
        <w:tabs>
          <w:tab w:val="clear" w:pos="426"/>
        </w:tabs>
        <w:spacing w:line="240" w:lineRule="auto"/>
        <w:ind w:firstLine="420" w:firstLineChars="200"/>
        <w:rPr>
          <w:rFonts w:ascii="Times New Roman" w:hAnsi="Times New Roman" w:cs="Times New Roman"/>
          <w:kern w:val="2"/>
        </w:rPr>
      </w:pPr>
      <w:r>
        <w:rPr>
          <w:rFonts w:hint="eastAsia" w:ascii="Times New Roman" w:hAnsi="Times New Roman" w:cs="Times New Roman"/>
          <w:kern w:val="2"/>
        </w:rPr>
        <w:t>3.</w:t>
      </w:r>
      <w:r>
        <w:rPr>
          <w:rFonts w:ascii="Times New Roman" w:hAnsi="Times New Roman" w:cs="Times New Roman"/>
          <w:kern w:val="2"/>
        </w:rPr>
        <w:t>合同履行</w:t>
      </w:r>
      <w:r>
        <w:rPr>
          <w:rFonts w:hint="eastAsia" w:ascii="Times New Roman" w:hAnsi="Times New Roman" w:cs="Times New Roman"/>
          <w:kern w:val="2"/>
        </w:rPr>
        <w:t>完毕，</w:t>
      </w:r>
      <w:r>
        <w:rPr>
          <w:rFonts w:ascii="Times New Roman" w:hAnsi="Times New Roman" w:cs="Times New Roman"/>
          <w:kern w:val="2"/>
        </w:rPr>
        <w:t>未经</w:t>
      </w:r>
      <w:r>
        <w:rPr>
          <w:rFonts w:hint="eastAsia" w:ascii="Times New Roman" w:hAnsi="Times New Roman" w:cs="Times New Roman"/>
          <w:kern w:val="2"/>
        </w:rPr>
        <w:t>甲</w:t>
      </w:r>
      <w:r>
        <w:rPr>
          <w:rFonts w:ascii="Times New Roman" w:hAnsi="Times New Roman" w:cs="Times New Roman"/>
          <w:kern w:val="2"/>
        </w:rPr>
        <w:t>方的书面同意</w:t>
      </w:r>
      <w:r>
        <w:rPr>
          <w:rFonts w:hint="eastAsia" w:ascii="Times New Roman" w:hAnsi="Times New Roman" w:cs="Times New Roman"/>
          <w:kern w:val="2"/>
        </w:rPr>
        <w:t>，</w:t>
      </w:r>
      <w:r>
        <w:rPr>
          <w:rFonts w:hint="eastAsia" w:cs="Times New Roman"/>
          <w:kern w:val="2"/>
          <w:szCs w:val="21"/>
        </w:rPr>
        <w:t>乙</w:t>
      </w:r>
      <w:r>
        <w:rPr>
          <w:rFonts w:ascii="Times New Roman" w:hAnsi="Times New Roman" w:cs="Times New Roman"/>
          <w:kern w:val="2"/>
        </w:rPr>
        <w:t>方</w:t>
      </w:r>
      <w:r>
        <w:rPr>
          <w:rFonts w:hint="eastAsia" w:ascii="Times New Roman" w:hAnsi="Times New Roman" w:cs="Times New Roman"/>
          <w:kern w:val="2"/>
        </w:rPr>
        <w:t>不得保存在</w:t>
      </w:r>
      <w:r>
        <w:rPr>
          <w:rFonts w:ascii="Times New Roman" w:hAnsi="Times New Roman" w:cs="Times New Roman"/>
          <w:kern w:val="2"/>
        </w:rPr>
        <w:t>履行合同过程中所获得或接触到的任何</w:t>
      </w:r>
      <w:r>
        <w:rPr>
          <w:rFonts w:hint="eastAsia" w:cs="Times New Roman"/>
          <w:kern w:val="2"/>
          <w:szCs w:val="21"/>
        </w:rPr>
        <w:t>内部数据资料。</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第五条  甲方的义务</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1.负责与本咨询服务项目有关的第三方的协调，提供开展咨询服务工作的外部条件。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2.向乙方提供与本项目咨询服务工作有关的资料。</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3.负责组织有关专家对项目试验成果评估报告的评审。</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第七条　乙方的义务</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1.应按照__________号采购文件、乙方谈判应答文件要求按期完成本项目咨询服务工作。</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2.负责组织项目的实施，保证工程进度和成桥荷载试验工作质量，并满足交通部交工验收相关标准。</w:t>
      </w:r>
    </w:p>
    <w:p>
      <w:pPr>
        <w:widowControl w:val="0"/>
        <w:shd w:val="clear" w:color="auto" w:fill="auto"/>
        <w:tabs>
          <w:tab w:val="clear" w:pos="426"/>
        </w:tabs>
        <w:spacing w:line="240" w:lineRule="auto"/>
        <w:ind w:firstLine="420" w:firstLineChars="200"/>
        <w:rPr>
          <w:rFonts w:cs="Times New Roman"/>
          <w:color w:val="FF0000"/>
          <w:kern w:val="2"/>
          <w:szCs w:val="21"/>
        </w:rPr>
      </w:pPr>
      <w:r>
        <w:rPr>
          <w:rFonts w:hint="eastAsia" w:cs="Times New Roman"/>
          <w:kern w:val="2"/>
          <w:szCs w:val="21"/>
        </w:rPr>
        <w:t>3.</w:t>
      </w:r>
      <w:r>
        <w:rPr>
          <w:rFonts w:hint="eastAsia" w:cs="Times New Roman"/>
          <w:kern w:val="2"/>
        </w:rPr>
        <w:t>向甲方提交检测资料等各</w:t>
      </w:r>
      <w:r>
        <w:rPr>
          <w:rFonts w:hint="eastAsia" w:cs="Times New Roman"/>
          <w:kern w:val="2"/>
          <w:u w:val="single"/>
        </w:rPr>
        <w:t>______</w:t>
      </w:r>
      <w:r>
        <w:rPr>
          <w:rFonts w:hint="eastAsia" w:cs="Times New Roman"/>
          <w:kern w:val="2"/>
        </w:rPr>
        <w:t>套，一套电子版文件。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4.在履行合同期间或合同规定期限内，不得泄露与本合同规定业务活动有关的保密资料。</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第八条  甲方的权利</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1.</w:t>
      </w:r>
      <w:r>
        <w:rPr>
          <w:rFonts w:hint="eastAsia" w:cs="Times New Roman"/>
          <w:kern w:val="2"/>
          <w:szCs w:val="21"/>
        </w:rPr>
        <w:t>有权向乙方询问工作进展情况及相关的内容。</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2.</w:t>
      </w:r>
      <w:r>
        <w:rPr>
          <w:rFonts w:hint="eastAsia" w:cs="Times New Roman"/>
          <w:kern w:val="2"/>
          <w:szCs w:val="21"/>
        </w:rPr>
        <w:t>有权阐述对具体问题的意见和建议。</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3.</w:t>
      </w:r>
      <w:r>
        <w:rPr>
          <w:rFonts w:hint="eastAsia" w:cs="Times New Roman"/>
          <w:kern w:val="2"/>
          <w:szCs w:val="21"/>
        </w:rPr>
        <w:t>当甲方认定乙方人员不按合同履行其职责，或与第三人串通给甲方造成经济损失的，甲方有权要求更换人员，直至终止合同并要求乙方承担相应的赔偿责任。</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第九条  乙方的权利</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1.</w:t>
      </w:r>
      <w:r>
        <w:rPr>
          <w:rFonts w:hint="eastAsia" w:cs="Times New Roman"/>
          <w:kern w:val="2"/>
          <w:szCs w:val="21"/>
        </w:rPr>
        <w:t>乙方在本项目服务过程中，如甲方提供的资料不明确时可向甲方提出书面报告。</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2.</w:t>
      </w:r>
      <w:r>
        <w:rPr>
          <w:rFonts w:hint="eastAsia" w:cs="Times New Roman"/>
          <w:kern w:val="2"/>
          <w:szCs w:val="21"/>
        </w:rPr>
        <w:t>乙方在本项目服务过程中，有权对第三方提出与本咨询服务业务有关的问题进行核对或查问。</w:t>
      </w:r>
    </w:p>
    <w:p>
      <w:pPr>
        <w:widowControl w:val="0"/>
        <w:shd w:val="clear" w:color="auto" w:fill="auto"/>
        <w:tabs>
          <w:tab w:val="clear" w:pos="426"/>
        </w:tabs>
        <w:spacing w:line="240" w:lineRule="auto"/>
        <w:ind w:firstLine="420" w:firstLineChars="200"/>
        <w:rPr>
          <w:rFonts w:cs="Times New Roman"/>
          <w:kern w:val="2"/>
          <w:szCs w:val="21"/>
        </w:rPr>
      </w:pPr>
      <w:r>
        <w:rPr>
          <w:rFonts w:cs="Times New Roman"/>
          <w:kern w:val="2"/>
          <w:szCs w:val="21"/>
        </w:rPr>
        <w:t>3.</w:t>
      </w:r>
      <w:r>
        <w:rPr>
          <w:rFonts w:hint="eastAsia" w:cs="Times New Roman"/>
          <w:kern w:val="2"/>
          <w:szCs w:val="21"/>
        </w:rPr>
        <w:t>乙方在本项目服务过程中，有到工程现场勘察的权利。</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第十条  甲方的责任</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1.应当履行本合同约定的义务，如有违反则应当承担违约责任，赔偿给乙方造成的损失。</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2.甲方向乙方提出赔偿要求不能成立时，则应补偿由于该赔偿或其他要求所导致乙方的各种费用的支出。</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第十一条  乙方的责任</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1.乙方的责任期即本合同有效期。如因非乙方的责任造成进度的推迟或延误而超过约定的日期，双方应进一步约定相应延长合同有效期。</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2.乙方的责任期内，应当履行本合同中约定的义务，因乙方的单方过失造成的经济损失，应当向甲方进行赔偿。</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3.乙方对甲方或第三方所提出的问题不能及时核对或答复，导致合同不能全部或部分履行，乙方应承担责任。</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4.乙方向甲方提出赔偿要求不能成立时，则应补偿由于该赔偿或其他要求所导致甲方的各种费用的支出。</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第十二条  人员要求</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1.参加本项目试验的人员必须具有国家和有关部门规定的相应资质。</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2.参加本项目的试验人员的配置必须与谈判应答文件中的服务承诺书和试验服务组织实施方案一致。</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3.必须以直属试验人员参与本项目服务，不得使用挂靠队伍。</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第十三条  乙方咨询服务工具要求</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1.乙方应配备成交项目所需的足够数量的仪器、仪表以及工具等设备。用户不需向乙方提供施工工具和仪器、仪表。</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2.乙方在提供服务过程中应自备车辆。</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第十四条  保密要求</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w:t>
      </w:r>
      <w:r>
        <w:rPr>
          <w:rFonts w:cs="Times New Roman"/>
          <w:kern w:val="2"/>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w:t>
      </w:r>
      <w:r>
        <w:rPr>
          <w:rFonts w:cs="Times New Roman"/>
          <w:kern w:val="2"/>
          <w:szCs w:val="21"/>
        </w:rPr>
        <w:t>乙方在履行合同过程中所获得或接触到的任何</w:t>
      </w:r>
      <w:r>
        <w:rPr>
          <w:rFonts w:hint="eastAsia" w:cs="Times New Roman"/>
          <w:kern w:val="2"/>
          <w:szCs w:val="21"/>
        </w:rPr>
        <w:t>内部数据资料，未经甲方同意，不得向第三方透露。</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w:t>
      </w:r>
      <w:r>
        <w:rPr>
          <w:rFonts w:cs="Times New Roman"/>
          <w:kern w:val="2"/>
          <w:szCs w:val="21"/>
        </w:rPr>
        <w:t>乙方</w:t>
      </w:r>
      <w:r>
        <w:rPr>
          <w:rFonts w:hint="eastAsia" w:cs="Times New Roman"/>
          <w:kern w:val="2"/>
          <w:szCs w:val="21"/>
        </w:rPr>
        <w:t>实施项目的一切程序都应符合国家安全、保密的有关规定和标准。</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w:t>
      </w:r>
      <w:r>
        <w:rPr>
          <w:rFonts w:cs="Times New Roman"/>
          <w:kern w:val="2"/>
          <w:szCs w:val="21"/>
        </w:rPr>
        <w:t>乙方</w:t>
      </w:r>
      <w:r>
        <w:rPr>
          <w:rFonts w:hint="eastAsia" w:cs="Times New Roman"/>
          <w:kern w:val="2"/>
          <w:szCs w:val="21"/>
        </w:rPr>
        <w:t>参加项目的有关人员均需同甲方签订保密协议。</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 xml:space="preserve">第十五条  验收     </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1.下列文件的验收分为</w:t>
      </w:r>
      <w:r>
        <w:rPr>
          <w:rFonts w:hint="eastAsia" w:cs="Times New Roman"/>
          <w:kern w:val="2"/>
          <w:szCs w:val="21"/>
          <w:u w:val="single"/>
        </w:rPr>
        <w:t>__________三</w:t>
      </w:r>
      <w:r>
        <w:rPr>
          <w:rFonts w:hint="eastAsia" w:cs="Times New Roman"/>
          <w:kern w:val="2"/>
          <w:szCs w:val="21"/>
        </w:rPr>
        <w:t>个阶段:</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2.其余文件和工作由用户组织有关技术人员根据国家和行业有关规范、规程、标准和用户需求直接验收。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3.验收依据为</w:t>
      </w:r>
      <w:r>
        <w:rPr>
          <w:rFonts w:hint="eastAsia" w:cs="Times New Roman"/>
          <w:kern w:val="2"/>
          <w:szCs w:val="21"/>
          <w:u w:val="single"/>
        </w:rPr>
        <w:t>___________</w:t>
      </w:r>
      <w:r>
        <w:rPr>
          <w:rFonts w:hint="eastAsia" w:cs="Times New Roman"/>
          <w:kern w:val="2"/>
          <w:szCs w:val="21"/>
        </w:rPr>
        <w:t>号采购文件、乙方谈判应答文件，国家和行业有关规范、规程和标准。</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第十六条  付款方式</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1.合同签订后</w:t>
      </w:r>
      <w:r>
        <w:rPr>
          <w:rFonts w:hint="eastAsia" w:cs="Times New Roman"/>
          <w:kern w:val="2"/>
          <w:szCs w:val="21"/>
          <w:u w:val="single"/>
        </w:rPr>
        <w:t>_____</w:t>
      </w:r>
      <w:r>
        <w:rPr>
          <w:rFonts w:hint="eastAsia" w:cs="Times New Roman"/>
          <w:kern w:val="2"/>
          <w:szCs w:val="21"/>
        </w:rPr>
        <w:t>天内，甲方向乙方支付合同总价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2.检测完成并提交评估报告后，甲方向乙方支付合同总价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3.报告通过专家评审后，甲方向乙方支付合同总价</w:t>
      </w:r>
      <w:r>
        <w:rPr>
          <w:rFonts w:hint="eastAsia" w:cs="Times New Roman"/>
          <w:kern w:val="2"/>
          <w:szCs w:val="21"/>
          <w:u w:val="single"/>
        </w:rPr>
        <w:t>____</w:t>
      </w:r>
      <w:r>
        <w:rPr>
          <w:rFonts w:hint="eastAsia" w:cs="Times New Roman"/>
          <w:kern w:val="2"/>
          <w:szCs w:val="21"/>
        </w:rPr>
        <w:t>%的款项。</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第十七条  争议解决办法</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执行本合同发生的争议，由甲乙双方协商解决。</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第十八条  风险责任</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1.乙方应完全地按照</w:t>
      </w:r>
      <w:r>
        <w:rPr>
          <w:rFonts w:hint="eastAsia" w:cs="Times New Roman"/>
          <w:kern w:val="2"/>
          <w:szCs w:val="21"/>
          <w:u w:val="single"/>
        </w:rPr>
        <w:t>___________</w:t>
      </w:r>
      <w:r>
        <w:rPr>
          <w:rFonts w:hint="eastAsia" w:cs="Times New Roman"/>
          <w:kern w:val="2"/>
          <w:szCs w:val="21"/>
        </w:rPr>
        <w:t>号采购文件的要求和乙方谈判应答文件的承诺完成本项目，出于自身财务、技术、人力等原因导致项目失败的，应承担全部责任。</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2.乙方在实施荷载试验过程中应对自身的安全生产负责，若由乙方原因发生的各种事故甲方不承担任何责任。</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第十九条  违约责任</w:t>
      </w:r>
    </w:p>
    <w:p>
      <w:pPr>
        <w:widowControl w:val="0"/>
        <w:shd w:val="clear" w:color="auto" w:fill="auto"/>
        <w:tabs>
          <w:tab w:val="clear" w:pos="426"/>
        </w:tabs>
        <w:spacing w:before="190" w:line="240" w:lineRule="auto"/>
        <w:ind w:firstLine="420" w:firstLineChars="200"/>
        <w:rPr>
          <w:rFonts w:ascii="Times New Roman" w:hAnsi="Times New Roman" w:cs="Times New Roman"/>
          <w:kern w:val="2"/>
          <w:szCs w:val="21"/>
        </w:rPr>
      </w:pPr>
      <w:r>
        <w:rPr>
          <w:rFonts w:hint="eastAsia" w:ascii="Times New Roman" w:hAnsi="Times New Roman" w:cs="Times New Roman"/>
          <w:kern w:val="2"/>
          <w:szCs w:val="21"/>
        </w:rPr>
        <w:t>１、因乙方原因，未能按规定时间完成有关工作的，每延误一天，甲方可在支付合同余款中扣除合同价款千分之一。</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2.由于乙方原因造成试验成果质量低劣，不能满足大纲要求时，应继续完善试验工作，其费用由乙方承担。</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3.如乙方提供的咨询服务文件不符合质量要求，必须在甲方提出要求后7天内无条件修改，其费用由乙方承担。</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4.若甲方发现乙方派出的试验服务人员或提供的试验仪器设备不符合合同要求，乙方应在3天之内按要求派出人员或提供满足谈判应答文件承诺的仪器设备，否则甲方有权终止合同，并保留追究乙方责任及要求赔偿损失的权利。</w:t>
      </w:r>
    </w:p>
    <w:p>
      <w:pPr>
        <w:widowControl w:val="0"/>
        <w:shd w:val="clear" w:color="auto" w:fill="auto"/>
        <w:tabs>
          <w:tab w:val="clear" w:pos="426"/>
        </w:tabs>
        <w:spacing w:line="240" w:lineRule="auto"/>
        <w:ind w:firstLine="422" w:firstLineChars="200"/>
        <w:rPr>
          <w:rFonts w:cs="Times New Roman"/>
          <w:b/>
          <w:bCs/>
          <w:kern w:val="2"/>
          <w:szCs w:val="21"/>
        </w:rPr>
      </w:pPr>
      <w:r>
        <w:rPr>
          <w:rFonts w:hint="eastAsia" w:cs="Times New Roman"/>
          <w:b/>
          <w:bCs/>
          <w:kern w:val="2"/>
          <w:szCs w:val="21"/>
        </w:rPr>
        <w:t>第二十条  其他</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1.本合同与</w:t>
      </w:r>
      <w:r>
        <w:rPr>
          <w:rFonts w:hint="eastAsia" w:cs="Times New Roman"/>
          <w:kern w:val="2"/>
          <w:szCs w:val="21"/>
          <w:u w:val="single"/>
        </w:rPr>
        <w:t>________</w:t>
      </w:r>
      <w:r>
        <w:rPr>
          <w:rFonts w:hint="eastAsia" w:cs="Times New Roman"/>
          <w:kern w:val="2"/>
          <w:szCs w:val="21"/>
        </w:rPr>
        <w:t>号采购文件、乙方谈判应答文件如有抵触之处，以本合同条款为准。</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2.下列文件均为本合同的组成部分：</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（1）</w:t>
      </w:r>
      <w:r>
        <w:rPr>
          <w:rFonts w:hint="eastAsia" w:cs="Times New Roman"/>
          <w:kern w:val="2"/>
          <w:szCs w:val="21"/>
          <w:u w:val="single"/>
        </w:rPr>
        <w:t>_________</w:t>
      </w:r>
      <w:r>
        <w:rPr>
          <w:rFonts w:hint="eastAsia" w:cs="Times New Roman"/>
          <w:kern w:val="2"/>
          <w:szCs w:val="21"/>
        </w:rPr>
        <w:t>号采购文件、答疑及补充通知；</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（2）谈判应答文件；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（3）本合同执行中共同签署的补充与修正文件。</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本合同一式</w:t>
      </w:r>
      <w:r>
        <w:rPr>
          <w:rFonts w:hint="eastAsia" w:cs="Times New Roman"/>
          <w:kern w:val="2"/>
          <w:szCs w:val="21"/>
          <w:u w:val="single"/>
        </w:rPr>
        <w:t>_____</w:t>
      </w:r>
      <w:r>
        <w:rPr>
          <w:rFonts w:hint="eastAsia" w:cs="Times New Roman"/>
          <w:kern w:val="2"/>
          <w:szCs w:val="21"/>
        </w:rPr>
        <w:t>份，甲、乙方双方各执</w:t>
      </w:r>
      <w:r>
        <w:rPr>
          <w:rFonts w:hint="eastAsia" w:cs="Times New Roman"/>
          <w:kern w:val="2"/>
          <w:szCs w:val="21"/>
          <w:u w:val="single"/>
        </w:rPr>
        <w:t>_____</w:t>
      </w:r>
      <w:r>
        <w:rPr>
          <w:rFonts w:hint="eastAsia" w:cs="Times New Roman"/>
          <w:kern w:val="2"/>
          <w:szCs w:val="21"/>
        </w:rPr>
        <w:t>份，具有同等法律效力。本合同自双方法人代表签字（盖章）认可之日起生效。</w:t>
      </w:r>
    </w:p>
    <w:p>
      <w:pPr>
        <w:widowControl w:val="0"/>
        <w:shd w:val="clear" w:color="auto" w:fill="auto"/>
        <w:tabs>
          <w:tab w:val="clear" w:pos="426"/>
        </w:tabs>
        <w:spacing w:line="240" w:lineRule="auto"/>
        <w:ind w:firstLine="420" w:firstLineChars="200"/>
        <w:rPr>
          <w:rFonts w:cs="Times New Roman"/>
          <w:kern w:val="2"/>
          <w:szCs w:val="21"/>
        </w:rPr>
      </w:pPr>
      <w:r>
        <w:rPr>
          <w:rFonts w:hint="eastAsia" w:cs="Times New Roman"/>
          <w:kern w:val="2"/>
          <w:szCs w:val="21"/>
        </w:rPr>
        <w:t>本合同未尽事宜，双方友好协商，达成解决方案，经双方签字后，可作为本合同的有效附件。</w:t>
      </w:r>
    </w:p>
    <w:p>
      <w:pPr>
        <w:widowControl w:val="0"/>
        <w:shd w:val="clear" w:color="auto" w:fill="auto"/>
        <w:tabs>
          <w:tab w:val="clear" w:pos="426"/>
        </w:tabs>
        <w:spacing w:line="240" w:lineRule="auto"/>
        <w:ind w:firstLine="420" w:firstLineChars="200"/>
        <w:rPr>
          <w:rFonts w:cs="Times New Roman"/>
          <w:kern w:val="2"/>
          <w:szCs w:val="21"/>
        </w:rPr>
      </w:pPr>
    </w:p>
    <w:p>
      <w:pPr>
        <w:widowControl w:val="0"/>
        <w:shd w:val="clear" w:color="auto" w:fill="auto"/>
        <w:tabs>
          <w:tab w:val="clear" w:pos="426"/>
        </w:tabs>
        <w:spacing w:line="240" w:lineRule="auto"/>
        <w:ind w:firstLine="420" w:firstLineChars="200"/>
        <w:rPr>
          <w:rFonts w:cs="Times New Roman"/>
          <w:kern w:val="2"/>
          <w:szCs w:val="21"/>
        </w:rPr>
      </w:pPr>
    </w:p>
    <w:p>
      <w:pPr>
        <w:widowControl w:val="0"/>
        <w:shd w:val="clear" w:color="auto" w:fill="auto"/>
        <w:tabs>
          <w:tab w:val="clear" w:pos="426"/>
        </w:tabs>
        <w:spacing w:line="240" w:lineRule="auto"/>
        <w:ind w:firstLine="420" w:firstLineChars="200"/>
        <w:rPr>
          <w:rFonts w:cs="Times New Roman"/>
          <w:kern w:val="2"/>
          <w:szCs w:val="21"/>
        </w:rPr>
      </w:pPr>
    </w:p>
    <w:p>
      <w:pPr>
        <w:widowControl w:val="0"/>
        <w:shd w:val="clear" w:color="auto" w:fill="auto"/>
        <w:tabs>
          <w:tab w:val="clear" w:pos="426"/>
        </w:tabs>
        <w:spacing w:line="240" w:lineRule="auto"/>
        <w:ind w:firstLine="420" w:firstLineChars="200"/>
        <w:rPr>
          <w:rFonts w:cs="Times New Roman"/>
          <w:kern w:val="2"/>
          <w:szCs w:val="21"/>
        </w:rPr>
      </w:pPr>
    </w:p>
    <w:p>
      <w:pPr>
        <w:widowControl w:val="0"/>
        <w:shd w:val="clear" w:color="auto" w:fill="auto"/>
        <w:tabs>
          <w:tab w:val="clear" w:pos="426"/>
        </w:tabs>
        <w:spacing w:line="240" w:lineRule="auto"/>
        <w:ind w:left="424" w:leftChars="202"/>
        <w:rPr>
          <w:rFonts w:cs="Times New Roman"/>
          <w:kern w:val="2"/>
          <w:szCs w:val="21"/>
          <w:u w:val="single"/>
        </w:rPr>
      </w:pPr>
      <w:r>
        <w:rPr>
          <w:rFonts w:hint="eastAsia" w:cs="Times New Roman"/>
          <w:kern w:val="2"/>
          <w:szCs w:val="21"/>
        </w:rPr>
        <w:t>甲方：</w:t>
      </w:r>
      <w:r>
        <w:rPr>
          <w:rFonts w:hint="eastAsia" w:cs="Times New Roman"/>
          <w:kern w:val="2"/>
          <w:szCs w:val="21"/>
          <w:u w:val="single"/>
        </w:rPr>
        <w:t>________________________________</w:t>
      </w:r>
      <w:r>
        <w:rPr>
          <w:rFonts w:hint="eastAsia" w:cs="Times New Roman"/>
          <w:kern w:val="2"/>
          <w:szCs w:val="21"/>
        </w:rPr>
        <w:t xml:space="preserve">    乙方：</w:t>
      </w:r>
      <w:r>
        <w:rPr>
          <w:rFonts w:hint="eastAsia" w:cs="Times New Roman"/>
          <w:kern w:val="2"/>
          <w:szCs w:val="21"/>
          <w:u w:val="single"/>
        </w:rPr>
        <w:t>____________________________</w:t>
      </w:r>
    </w:p>
    <w:p>
      <w:pPr>
        <w:widowControl w:val="0"/>
        <w:shd w:val="clear" w:color="auto" w:fill="auto"/>
        <w:tabs>
          <w:tab w:val="clear" w:pos="426"/>
        </w:tabs>
        <w:spacing w:line="240" w:lineRule="auto"/>
        <w:ind w:left="424" w:leftChars="202" w:firstLine="1890" w:firstLineChars="900"/>
        <w:rPr>
          <w:rFonts w:cs="Times New Roman"/>
          <w:kern w:val="2"/>
          <w:szCs w:val="21"/>
        </w:rPr>
      </w:pPr>
      <w:r>
        <w:rPr>
          <w:rFonts w:hint="eastAsia" w:cs="Times New Roman"/>
          <w:kern w:val="2"/>
          <w:szCs w:val="21"/>
        </w:rPr>
        <w:t xml:space="preserve">（签章）                 </w:t>
      </w:r>
      <w:r>
        <w:rPr>
          <w:rFonts w:cs="Times New Roman"/>
          <w:kern w:val="2"/>
          <w:szCs w:val="21"/>
        </w:rPr>
        <w:t xml:space="preserve">        </w:t>
      </w:r>
      <w:r>
        <w:rPr>
          <w:rFonts w:hint="eastAsia" w:cs="Times New Roman"/>
          <w:kern w:val="2"/>
          <w:szCs w:val="21"/>
        </w:rPr>
        <w:t xml:space="preserve">        （签章）</w:t>
      </w:r>
    </w:p>
    <w:p>
      <w:pPr>
        <w:widowControl w:val="0"/>
        <w:shd w:val="clear" w:color="auto" w:fill="auto"/>
        <w:tabs>
          <w:tab w:val="clear" w:pos="426"/>
        </w:tabs>
        <w:spacing w:line="240" w:lineRule="auto"/>
        <w:ind w:left="424" w:leftChars="202" w:firstLine="2730" w:firstLineChars="1300"/>
        <w:rPr>
          <w:rFonts w:cs="Times New Roman"/>
          <w:kern w:val="2"/>
          <w:szCs w:val="21"/>
        </w:rPr>
      </w:pPr>
      <w:r>
        <w:rPr>
          <w:rFonts w:hint="eastAsia" w:cs="Times New Roman"/>
          <w:kern w:val="2"/>
          <w:szCs w:val="21"/>
        </w:rPr>
        <w:t xml:space="preserve">              </w:t>
      </w:r>
      <w:r>
        <w:rPr>
          <w:rFonts w:cs="Times New Roman"/>
          <w:kern w:val="2"/>
          <w:szCs w:val="21"/>
        </w:rPr>
        <w:t xml:space="preserve"> </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地址：</w:t>
      </w:r>
      <w:r>
        <w:rPr>
          <w:rFonts w:hint="eastAsia" w:cs="Times New Roman"/>
          <w:kern w:val="2"/>
          <w:szCs w:val="21"/>
          <w:u w:val="single"/>
        </w:rPr>
        <w:t>________________________</w:t>
      </w:r>
      <w:r>
        <w:rPr>
          <w:rFonts w:cs="Times New Roman"/>
          <w:kern w:val="2"/>
          <w:szCs w:val="21"/>
          <w:u w:val="single"/>
        </w:rPr>
        <w:t>______</w:t>
      </w:r>
      <w:r>
        <w:rPr>
          <w:rFonts w:cs="Times New Roman"/>
          <w:kern w:val="2"/>
          <w:szCs w:val="21"/>
        </w:rPr>
        <w:t xml:space="preserve">  </w:t>
      </w:r>
      <w:r>
        <w:rPr>
          <w:rFonts w:hint="eastAsia" w:cs="Times New Roman"/>
          <w:kern w:val="2"/>
          <w:szCs w:val="21"/>
        </w:rPr>
        <w:t>地址：</w:t>
      </w:r>
      <w:r>
        <w:rPr>
          <w:rFonts w:hint="eastAsia" w:cs="Times New Roman"/>
          <w:kern w:val="2"/>
          <w:szCs w:val="21"/>
          <w:u w:val="single"/>
        </w:rPr>
        <w:t>________________________</w:t>
      </w:r>
      <w:r>
        <w:rPr>
          <w:rFonts w:cs="Times New Roman"/>
          <w:kern w:val="2"/>
          <w:szCs w:val="21"/>
          <w:u w:val="single"/>
        </w:rPr>
        <w:t>______</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法定代表人：（签章）</w:t>
      </w:r>
      <w:r>
        <w:rPr>
          <w:rFonts w:cs="Times New Roman"/>
          <w:kern w:val="2"/>
          <w:szCs w:val="21"/>
          <w:u w:val="single"/>
        </w:rPr>
        <w:t>________</w:t>
      </w:r>
      <w:r>
        <w:rPr>
          <w:rFonts w:hint="eastAsia" w:cs="Times New Roman"/>
          <w:kern w:val="2"/>
          <w:szCs w:val="21"/>
          <w:u w:val="single"/>
        </w:rPr>
        <w:t>_________</w:t>
      </w:r>
      <w:r>
        <w:rPr>
          <w:rFonts w:hint="eastAsia" w:cs="Times New Roman"/>
          <w:kern w:val="2"/>
          <w:szCs w:val="21"/>
        </w:rPr>
        <w:t xml:space="preserve">  法定代表人：（签章）</w:t>
      </w:r>
      <w:r>
        <w:rPr>
          <w:rFonts w:cs="Times New Roman"/>
          <w:kern w:val="2"/>
          <w:szCs w:val="21"/>
          <w:u w:val="single"/>
        </w:rPr>
        <w:t>________</w:t>
      </w:r>
      <w:r>
        <w:rPr>
          <w:rFonts w:hint="eastAsia" w:cs="Times New Roman"/>
          <w:kern w:val="2"/>
          <w:szCs w:val="21"/>
          <w:u w:val="single"/>
        </w:rPr>
        <w:t>_________</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开户行：</w:t>
      </w:r>
      <w:r>
        <w:rPr>
          <w:rFonts w:hint="eastAsia" w:cs="Times New Roman"/>
          <w:kern w:val="2"/>
          <w:szCs w:val="21"/>
          <w:u w:val="single"/>
        </w:rPr>
        <w:t>___________________</w:t>
      </w:r>
      <w:r>
        <w:rPr>
          <w:rFonts w:cs="Times New Roman"/>
          <w:kern w:val="2"/>
          <w:szCs w:val="21"/>
          <w:u w:val="single"/>
        </w:rPr>
        <w:t>________</w:t>
      </w:r>
      <w:r>
        <w:rPr>
          <w:rFonts w:hint="eastAsia" w:cs="Times New Roman"/>
          <w:kern w:val="2"/>
          <w:szCs w:val="21"/>
          <w:u w:val="single"/>
        </w:rPr>
        <w:t>_</w:t>
      </w:r>
      <w:r>
        <w:rPr>
          <w:rFonts w:hint="eastAsia" w:cs="Times New Roman"/>
          <w:kern w:val="2"/>
          <w:szCs w:val="21"/>
        </w:rPr>
        <w:t xml:space="preserve">  开户行：</w:t>
      </w:r>
      <w:r>
        <w:rPr>
          <w:rFonts w:hint="eastAsia" w:cs="Times New Roman"/>
          <w:kern w:val="2"/>
          <w:szCs w:val="21"/>
          <w:u w:val="single"/>
        </w:rPr>
        <w:t>___________________</w:t>
      </w:r>
      <w:r>
        <w:rPr>
          <w:rFonts w:cs="Times New Roman"/>
          <w:kern w:val="2"/>
          <w:szCs w:val="21"/>
          <w:u w:val="single"/>
        </w:rPr>
        <w:t>________</w:t>
      </w:r>
      <w:r>
        <w:rPr>
          <w:rFonts w:hint="eastAsia" w:cs="Times New Roman"/>
          <w:kern w:val="2"/>
          <w:szCs w:val="21"/>
          <w:u w:val="single"/>
        </w:rPr>
        <w:t>_</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人民币帐号：</w:t>
      </w:r>
      <w:r>
        <w:rPr>
          <w:rFonts w:cs="Times New Roman"/>
          <w:kern w:val="2"/>
          <w:szCs w:val="21"/>
          <w:u w:val="single"/>
        </w:rPr>
        <w:t>________</w:t>
      </w:r>
      <w:r>
        <w:rPr>
          <w:rFonts w:hint="eastAsia" w:cs="Times New Roman"/>
          <w:kern w:val="2"/>
          <w:szCs w:val="21"/>
          <w:u w:val="single"/>
        </w:rPr>
        <w:t>________________</w:t>
      </w:r>
      <w:r>
        <w:rPr>
          <w:rFonts w:hint="eastAsia" w:cs="Times New Roman"/>
          <w:kern w:val="2"/>
          <w:szCs w:val="21"/>
        </w:rPr>
        <w:t xml:space="preserve">  人民币帐号：</w:t>
      </w:r>
      <w:r>
        <w:rPr>
          <w:rFonts w:cs="Times New Roman"/>
          <w:kern w:val="2"/>
          <w:szCs w:val="21"/>
          <w:u w:val="single"/>
        </w:rPr>
        <w:t>________</w:t>
      </w:r>
      <w:r>
        <w:rPr>
          <w:rFonts w:hint="eastAsia" w:cs="Times New Roman"/>
          <w:kern w:val="2"/>
          <w:szCs w:val="21"/>
          <w:u w:val="single"/>
        </w:rPr>
        <w:t>________________</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联系人：</w:t>
      </w:r>
      <w:r>
        <w:rPr>
          <w:rFonts w:hint="eastAsia" w:cs="Times New Roman"/>
          <w:kern w:val="2"/>
          <w:szCs w:val="21"/>
          <w:u w:val="single"/>
        </w:rPr>
        <w:t>____________</w:t>
      </w:r>
      <w:r>
        <w:rPr>
          <w:rFonts w:cs="Times New Roman"/>
          <w:kern w:val="2"/>
          <w:szCs w:val="21"/>
          <w:u w:val="single"/>
        </w:rPr>
        <w:t>________</w:t>
      </w:r>
      <w:r>
        <w:rPr>
          <w:rFonts w:hint="eastAsia" w:cs="Times New Roman"/>
          <w:kern w:val="2"/>
          <w:szCs w:val="21"/>
          <w:u w:val="single"/>
        </w:rPr>
        <w:t>________</w:t>
      </w:r>
      <w:r>
        <w:rPr>
          <w:rFonts w:hint="eastAsia" w:cs="Times New Roman"/>
          <w:kern w:val="2"/>
          <w:szCs w:val="21"/>
        </w:rPr>
        <w:t xml:space="preserve">  联系人：</w:t>
      </w:r>
      <w:r>
        <w:rPr>
          <w:rFonts w:hint="eastAsia" w:cs="Times New Roman"/>
          <w:kern w:val="2"/>
          <w:szCs w:val="21"/>
          <w:u w:val="single"/>
        </w:rPr>
        <w:t>____________</w:t>
      </w:r>
      <w:r>
        <w:rPr>
          <w:rFonts w:cs="Times New Roman"/>
          <w:kern w:val="2"/>
          <w:szCs w:val="21"/>
          <w:u w:val="single"/>
        </w:rPr>
        <w:t>________</w:t>
      </w:r>
      <w:r>
        <w:rPr>
          <w:rFonts w:hint="eastAsia" w:cs="Times New Roman"/>
          <w:kern w:val="2"/>
          <w:szCs w:val="21"/>
          <w:u w:val="single"/>
        </w:rPr>
        <w:t>________</w:t>
      </w:r>
    </w:p>
    <w:p>
      <w:pPr>
        <w:widowControl w:val="0"/>
        <w:shd w:val="clear" w:color="auto" w:fill="auto"/>
        <w:tabs>
          <w:tab w:val="clear" w:pos="426"/>
        </w:tabs>
        <w:spacing w:line="240" w:lineRule="auto"/>
        <w:ind w:left="424" w:leftChars="202" w:firstLine="2"/>
        <w:rPr>
          <w:rFonts w:cs="Times New Roman"/>
          <w:kern w:val="2"/>
          <w:szCs w:val="21"/>
        </w:rPr>
      </w:pPr>
      <w:r>
        <w:rPr>
          <w:rFonts w:hint="eastAsia" w:cs="Times New Roman"/>
          <w:kern w:val="2"/>
          <w:szCs w:val="21"/>
        </w:rPr>
        <w:t>电话：</w:t>
      </w:r>
      <w:r>
        <w:rPr>
          <w:rFonts w:hint="eastAsia" w:cs="Times New Roman"/>
          <w:kern w:val="2"/>
          <w:szCs w:val="21"/>
          <w:u w:val="single"/>
        </w:rPr>
        <w:t>______________________</w:t>
      </w:r>
      <w:r>
        <w:rPr>
          <w:rFonts w:cs="Times New Roman"/>
          <w:kern w:val="2"/>
          <w:szCs w:val="21"/>
          <w:u w:val="single"/>
        </w:rPr>
        <w:t>________</w:t>
      </w:r>
      <w:r>
        <w:rPr>
          <w:rFonts w:hint="eastAsia" w:cs="Times New Roman"/>
          <w:kern w:val="2"/>
          <w:szCs w:val="21"/>
        </w:rPr>
        <w:t xml:space="preserve">  电话：</w:t>
      </w:r>
      <w:r>
        <w:rPr>
          <w:rFonts w:hint="eastAsia" w:cs="Times New Roman"/>
          <w:kern w:val="2"/>
          <w:szCs w:val="21"/>
          <w:u w:val="single"/>
        </w:rPr>
        <w:t>______________________</w:t>
      </w:r>
      <w:r>
        <w:rPr>
          <w:rFonts w:cs="Times New Roman"/>
          <w:kern w:val="2"/>
          <w:szCs w:val="21"/>
          <w:u w:val="single"/>
        </w:rPr>
        <w:t>________</w:t>
      </w:r>
    </w:p>
    <w:p>
      <w:pPr>
        <w:widowControl w:val="0"/>
        <w:shd w:val="clear" w:color="auto" w:fill="auto"/>
        <w:tabs>
          <w:tab w:val="clear" w:pos="426"/>
        </w:tabs>
        <w:spacing w:line="240" w:lineRule="auto"/>
        <w:ind w:left="424" w:leftChars="202" w:firstLine="2"/>
        <w:rPr>
          <w:rFonts w:cs="Times New Roman"/>
          <w:kern w:val="2"/>
          <w:szCs w:val="21"/>
          <w:u w:val="single"/>
        </w:rPr>
      </w:pPr>
      <w:r>
        <w:rPr>
          <w:rFonts w:hint="eastAsia" w:cs="Times New Roman"/>
          <w:kern w:val="2"/>
          <w:szCs w:val="21"/>
        </w:rPr>
        <w:t>日期：</w:t>
      </w:r>
      <w:r>
        <w:rPr>
          <w:rFonts w:hint="eastAsia" w:cs="Times New Roman"/>
          <w:kern w:val="2"/>
          <w:szCs w:val="21"/>
          <w:u w:val="single"/>
        </w:rPr>
        <w:t>___________</w:t>
      </w:r>
      <w:r>
        <w:rPr>
          <w:rFonts w:cs="Times New Roman"/>
          <w:kern w:val="2"/>
          <w:szCs w:val="21"/>
          <w:u w:val="single"/>
        </w:rPr>
        <w:t>________</w:t>
      </w:r>
      <w:r>
        <w:rPr>
          <w:rFonts w:hint="eastAsia" w:cs="Times New Roman"/>
          <w:kern w:val="2"/>
          <w:szCs w:val="21"/>
          <w:u w:val="single"/>
        </w:rPr>
        <w:t>___________</w:t>
      </w:r>
      <w:r>
        <w:rPr>
          <w:rFonts w:hint="eastAsia" w:cs="Times New Roman"/>
          <w:kern w:val="2"/>
          <w:szCs w:val="21"/>
        </w:rPr>
        <w:t xml:space="preserve">  日期：</w:t>
      </w:r>
      <w:r>
        <w:rPr>
          <w:rFonts w:hint="eastAsia" w:cs="Times New Roman"/>
          <w:kern w:val="2"/>
          <w:szCs w:val="21"/>
          <w:u w:val="single"/>
        </w:rPr>
        <w:t>___________</w:t>
      </w:r>
      <w:r>
        <w:rPr>
          <w:rFonts w:cs="Times New Roman"/>
          <w:kern w:val="2"/>
          <w:szCs w:val="21"/>
          <w:u w:val="single"/>
        </w:rPr>
        <w:t>________</w:t>
      </w:r>
      <w:r>
        <w:rPr>
          <w:rFonts w:hint="eastAsia" w:cs="Times New Roman"/>
          <w:kern w:val="2"/>
          <w:szCs w:val="21"/>
          <w:u w:val="single"/>
        </w:rPr>
        <w:t>___________</w:t>
      </w:r>
    </w:p>
    <w:p>
      <w:pPr>
        <w:widowControl w:val="0"/>
        <w:shd w:val="clear" w:color="auto" w:fill="auto"/>
        <w:tabs>
          <w:tab w:val="clear" w:pos="426"/>
        </w:tabs>
        <w:spacing w:line="240" w:lineRule="auto"/>
        <w:ind w:left="424" w:leftChars="202" w:firstLine="2"/>
        <w:rPr>
          <w:rFonts w:cs="Times New Roman"/>
          <w:kern w:val="2"/>
          <w:szCs w:val="21"/>
        </w:rPr>
      </w:pPr>
    </w:p>
    <w:p>
      <w:pPr>
        <w:rPr>
          <w:sz w:val="24"/>
        </w:rPr>
      </w:pPr>
      <w:r>
        <w:rPr>
          <w:rFonts w:hint="eastAsia"/>
          <w:sz w:val="24"/>
        </w:rPr>
        <w:t xml:space="preserve"> </w:t>
      </w:r>
    </w:p>
    <w:p>
      <w:pPr>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注：本合同样本仅供参考，具体条款内容以实际签定的版本为准。</w:t>
      </w:r>
    </w:p>
    <w:p>
      <w:pPr>
        <w:pStyle w:val="321"/>
        <w:pageBreakBefore/>
      </w:pPr>
      <w:r>
        <w:rPr>
          <w:rFonts w:hint="eastAsia"/>
        </w:rPr>
        <w:t>三、政府采购履约情况反馈表</w:t>
      </w:r>
    </w:p>
    <w:p>
      <w:pPr>
        <w:tabs>
          <w:tab w:val="clear" w:pos="426"/>
        </w:tabs>
        <w:rPr>
          <w:u w:val="single"/>
        </w:rPr>
      </w:pPr>
      <w:r>
        <w:rPr>
          <w:rFonts w:hint="eastAsia"/>
        </w:rPr>
        <w:t>采购单位名称：</w:t>
      </w:r>
      <w:r>
        <w:rPr>
          <w:rFonts w:hint="eastAsia"/>
          <w:u w:val="single"/>
        </w:rPr>
        <w:t>_______________________________</w:t>
      </w:r>
      <w:r>
        <w:rPr>
          <w:rFonts w:hint="eastAsia"/>
        </w:rPr>
        <w:t>联系人及电话：</w:t>
      </w:r>
      <w:r>
        <w:rPr>
          <w:rFonts w:hint="eastAsia"/>
          <w:u w:val="single"/>
        </w:rPr>
        <w:t>_________________________</w:t>
      </w:r>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773"/>
        <w:gridCol w:w="773"/>
        <w:gridCol w:w="2704"/>
        <w:gridCol w:w="2125"/>
        <w:gridCol w:w="22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80" w:type="pct"/>
            <w:gridSpan w:val="3"/>
            <w:vAlign w:val="center"/>
          </w:tcPr>
          <w:p>
            <w:pPr>
              <w:tabs>
                <w:tab w:val="clear" w:pos="426"/>
              </w:tabs>
              <w:spacing w:line="240" w:lineRule="auto"/>
              <w:jc w:val="left"/>
            </w:pPr>
            <w:r>
              <w:rPr>
                <w:rFonts w:hint="eastAsia"/>
              </w:rPr>
              <w:t>采购项目名称</w:t>
            </w:r>
          </w:p>
        </w:tc>
        <w:tc>
          <w:tcPr>
            <w:tcW w:w="1413" w:type="pct"/>
            <w:vAlign w:val="center"/>
          </w:tcPr>
          <w:p>
            <w:pPr>
              <w:tabs>
                <w:tab w:val="clear" w:pos="426"/>
              </w:tabs>
              <w:spacing w:line="240" w:lineRule="auto"/>
              <w:jc w:val="left"/>
            </w:pPr>
          </w:p>
        </w:tc>
        <w:tc>
          <w:tcPr>
            <w:tcW w:w="1110" w:type="pct"/>
            <w:vAlign w:val="center"/>
          </w:tcPr>
          <w:p>
            <w:pPr>
              <w:tabs>
                <w:tab w:val="clear" w:pos="426"/>
              </w:tabs>
              <w:spacing w:line="240" w:lineRule="auto"/>
              <w:jc w:val="left"/>
            </w:pPr>
            <w:r>
              <w:rPr>
                <w:rFonts w:hint="eastAsia"/>
              </w:rPr>
              <w:t>采购项目编号</w:t>
            </w:r>
          </w:p>
        </w:tc>
        <w:tc>
          <w:tcPr>
            <w:tcW w:w="1197" w:type="pct"/>
            <w:vAlign w:val="center"/>
          </w:tcPr>
          <w:p>
            <w:pPr>
              <w:pStyle w:val="6"/>
              <w:tabs>
                <w:tab w:val="clear" w:pos="426"/>
              </w:tabs>
              <w:spacing w:line="240" w:lineRule="auto"/>
              <w:jc w:val="left"/>
              <w:rPr>
                <w:rFonts w:ascii="宋体" w:hAnsi="宋体" w:cs="宋体"/>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80" w:type="pct"/>
            <w:gridSpan w:val="3"/>
            <w:vAlign w:val="center"/>
          </w:tcPr>
          <w:p>
            <w:pPr>
              <w:tabs>
                <w:tab w:val="clear" w:pos="426"/>
              </w:tabs>
              <w:spacing w:line="240" w:lineRule="auto"/>
              <w:jc w:val="left"/>
            </w:pPr>
            <w:r>
              <w:rPr>
                <w:rFonts w:hint="eastAsia"/>
              </w:rPr>
              <w:t>成交人名称</w:t>
            </w:r>
          </w:p>
        </w:tc>
        <w:tc>
          <w:tcPr>
            <w:tcW w:w="1413" w:type="pct"/>
            <w:vAlign w:val="center"/>
          </w:tcPr>
          <w:p>
            <w:pPr>
              <w:tabs>
                <w:tab w:val="clear" w:pos="426"/>
              </w:tabs>
              <w:spacing w:line="240" w:lineRule="auto"/>
              <w:jc w:val="left"/>
            </w:pPr>
          </w:p>
        </w:tc>
        <w:tc>
          <w:tcPr>
            <w:tcW w:w="1110" w:type="pct"/>
            <w:vAlign w:val="center"/>
          </w:tcPr>
          <w:p>
            <w:pPr>
              <w:tabs>
                <w:tab w:val="clear" w:pos="426"/>
              </w:tabs>
              <w:spacing w:line="240" w:lineRule="auto"/>
              <w:jc w:val="left"/>
            </w:pPr>
            <w:r>
              <w:rPr>
                <w:rFonts w:hint="eastAsia"/>
              </w:rPr>
              <w:t>供应商</w:t>
            </w:r>
          </w:p>
          <w:p>
            <w:pPr>
              <w:tabs>
                <w:tab w:val="clear" w:pos="426"/>
              </w:tabs>
              <w:spacing w:line="240" w:lineRule="auto"/>
              <w:jc w:val="left"/>
            </w:pPr>
            <w:r>
              <w:rPr>
                <w:rFonts w:hint="eastAsia"/>
              </w:rPr>
              <w:t>联系人及电话</w:t>
            </w:r>
          </w:p>
        </w:tc>
        <w:tc>
          <w:tcPr>
            <w:tcW w:w="1197" w:type="pct"/>
            <w:vAlign w:val="center"/>
          </w:tcPr>
          <w:p>
            <w:pPr>
              <w:tabs>
                <w:tab w:val="clear" w:pos="426"/>
              </w:tabs>
              <w:spacing w:line="240" w:lineRule="auto"/>
              <w:jc w:val="left"/>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80" w:type="pct"/>
            <w:gridSpan w:val="3"/>
            <w:vAlign w:val="center"/>
          </w:tcPr>
          <w:p>
            <w:pPr>
              <w:tabs>
                <w:tab w:val="clear" w:pos="426"/>
              </w:tabs>
              <w:spacing w:line="240" w:lineRule="auto"/>
              <w:jc w:val="left"/>
            </w:pPr>
            <w:r>
              <w:rPr>
                <w:rFonts w:hint="eastAsia"/>
              </w:rPr>
              <w:t>成交金额</w:t>
            </w:r>
          </w:p>
        </w:tc>
        <w:tc>
          <w:tcPr>
            <w:tcW w:w="1413" w:type="pct"/>
            <w:vAlign w:val="center"/>
          </w:tcPr>
          <w:p>
            <w:pPr>
              <w:tabs>
                <w:tab w:val="clear" w:pos="426"/>
              </w:tabs>
              <w:spacing w:line="240" w:lineRule="auto"/>
              <w:jc w:val="left"/>
            </w:pPr>
          </w:p>
        </w:tc>
        <w:tc>
          <w:tcPr>
            <w:tcW w:w="1110" w:type="pct"/>
            <w:vAlign w:val="center"/>
          </w:tcPr>
          <w:p>
            <w:pPr>
              <w:tabs>
                <w:tab w:val="clear" w:pos="426"/>
              </w:tabs>
              <w:spacing w:line="240" w:lineRule="auto"/>
              <w:jc w:val="left"/>
            </w:pPr>
            <w:r>
              <w:rPr>
                <w:rFonts w:hint="eastAsia"/>
              </w:rPr>
              <w:t>合同履约时间</w:t>
            </w:r>
          </w:p>
        </w:tc>
        <w:tc>
          <w:tcPr>
            <w:tcW w:w="1197" w:type="pct"/>
            <w:vAlign w:val="center"/>
          </w:tcPr>
          <w:p>
            <w:pPr>
              <w:tabs>
                <w:tab w:val="clear" w:pos="426"/>
              </w:tabs>
              <w:spacing w:line="240" w:lineRule="auto"/>
              <w:jc w:val="left"/>
            </w:pPr>
            <w:r>
              <w:rPr>
                <w:rFonts w:hint="eastAsia"/>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472" w:type="pct"/>
            <w:vMerge w:val="restart"/>
            <w:vAlign w:val="center"/>
          </w:tcPr>
          <w:p>
            <w:pPr>
              <w:tabs>
                <w:tab w:val="clear" w:pos="426"/>
              </w:tabs>
              <w:spacing w:line="240" w:lineRule="auto"/>
              <w:jc w:val="center"/>
            </w:pPr>
            <w:r>
              <w:rPr>
                <w:rFonts w:hint="eastAsia"/>
              </w:rPr>
              <w:t>履约情况评价</w:t>
            </w:r>
          </w:p>
        </w:tc>
        <w:tc>
          <w:tcPr>
            <w:tcW w:w="807" w:type="pct"/>
            <w:gridSpan w:val="2"/>
            <w:tcBorders>
              <w:right w:val="single" w:color="auto" w:sz="4" w:space="0"/>
            </w:tcBorders>
            <w:vAlign w:val="center"/>
          </w:tcPr>
          <w:p>
            <w:pPr>
              <w:tabs>
                <w:tab w:val="clear" w:pos="426"/>
              </w:tabs>
              <w:spacing w:line="240" w:lineRule="auto"/>
              <w:jc w:val="center"/>
            </w:pPr>
            <w:r>
              <w:rPr>
                <w:rFonts w:hint="eastAsia"/>
              </w:rPr>
              <w:t>总体评价</w:t>
            </w:r>
          </w:p>
        </w:tc>
        <w:tc>
          <w:tcPr>
            <w:tcW w:w="3720" w:type="pct"/>
            <w:gridSpan w:val="3"/>
            <w:tcBorders>
              <w:left w:val="single" w:color="auto" w:sz="4" w:space="0"/>
            </w:tcBorders>
            <w:vAlign w:val="center"/>
          </w:tcPr>
          <w:p>
            <w:pPr>
              <w:tabs>
                <w:tab w:val="clear" w:pos="426"/>
              </w:tabs>
              <w:spacing w:line="240" w:lineRule="auto"/>
              <w:ind w:firstLine="105" w:firstLineChars="50"/>
            </w:pPr>
            <w:r>
              <w:rPr>
                <w:rFonts w:hint="eastAsia"/>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restart"/>
            <w:tcBorders>
              <w:right w:val="single" w:color="auto" w:sz="4" w:space="0"/>
            </w:tcBorders>
            <w:vAlign w:val="center"/>
          </w:tcPr>
          <w:p>
            <w:pPr>
              <w:tabs>
                <w:tab w:val="clear" w:pos="426"/>
              </w:tabs>
              <w:spacing w:line="240" w:lineRule="auto"/>
              <w:jc w:val="center"/>
            </w:pPr>
            <w:r>
              <w:rPr>
                <w:rFonts w:hint="eastAsia"/>
              </w:rPr>
              <w:t>分项评价</w:t>
            </w: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质量方面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价格方面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服务方面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时间方面</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环境保护</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472" w:type="pct"/>
            <w:vMerge w:val="continue"/>
            <w:vAlign w:val="center"/>
          </w:tcPr>
          <w:p>
            <w:pPr>
              <w:tabs>
                <w:tab w:val="clear" w:pos="426"/>
              </w:tabs>
              <w:spacing w:line="240" w:lineRule="auto"/>
            </w:pPr>
          </w:p>
        </w:tc>
        <w:tc>
          <w:tcPr>
            <w:tcW w:w="404" w:type="pct"/>
            <w:vMerge w:val="continue"/>
            <w:tcBorders>
              <w:right w:val="single" w:color="auto" w:sz="4" w:space="0"/>
            </w:tcBorders>
            <w:vAlign w:val="center"/>
          </w:tcPr>
          <w:p>
            <w:pPr>
              <w:tabs>
                <w:tab w:val="clear" w:pos="426"/>
              </w:tabs>
              <w:spacing w:line="240" w:lineRule="auto"/>
            </w:pPr>
          </w:p>
        </w:tc>
        <w:tc>
          <w:tcPr>
            <w:tcW w:w="404" w:type="pct"/>
            <w:tcBorders>
              <w:left w:val="single" w:color="auto" w:sz="4" w:space="0"/>
              <w:right w:val="single" w:color="auto" w:sz="4" w:space="0"/>
            </w:tcBorders>
            <w:vAlign w:val="center"/>
          </w:tcPr>
          <w:p>
            <w:pPr>
              <w:tabs>
                <w:tab w:val="clear" w:pos="426"/>
              </w:tabs>
              <w:spacing w:line="240" w:lineRule="auto"/>
              <w:jc w:val="center"/>
            </w:pPr>
            <w:r>
              <w:rPr>
                <w:rFonts w:hint="eastAsia"/>
              </w:rPr>
              <w:t>其他</w:t>
            </w:r>
          </w:p>
        </w:tc>
        <w:tc>
          <w:tcPr>
            <w:tcW w:w="3720" w:type="pct"/>
            <w:gridSpan w:val="3"/>
            <w:tcBorders>
              <w:left w:val="single" w:color="auto" w:sz="4" w:space="0"/>
            </w:tcBorders>
            <w:vAlign w:val="center"/>
          </w:tcPr>
          <w:p>
            <w:pPr>
              <w:tabs>
                <w:tab w:val="clear" w:pos="426"/>
              </w:tabs>
              <w:spacing w:line="240" w:lineRule="auto"/>
            </w:pPr>
            <w:r>
              <w:rPr>
                <w:rFonts w:hint="eastAsia"/>
              </w:rPr>
              <w:t xml:space="preserve">评价内容为：                    </w:t>
            </w:r>
          </w:p>
          <w:p>
            <w:pPr>
              <w:tabs>
                <w:tab w:val="clear" w:pos="426"/>
              </w:tabs>
              <w:spacing w:line="240" w:lineRule="auto"/>
            </w:pPr>
            <w:r>
              <w:rPr>
                <w:rFonts w:hint="eastAsia"/>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76" w:type="pct"/>
            <w:gridSpan w:val="2"/>
            <w:vAlign w:val="center"/>
          </w:tcPr>
          <w:p>
            <w:pPr>
              <w:tabs>
                <w:tab w:val="clear" w:pos="426"/>
              </w:tabs>
              <w:spacing w:line="240" w:lineRule="auto"/>
            </w:pPr>
            <w:r>
              <w:rPr>
                <w:rFonts w:hint="eastAsia"/>
              </w:rPr>
              <w:t>具体情况说明</w:t>
            </w:r>
          </w:p>
        </w:tc>
        <w:tc>
          <w:tcPr>
            <w:tcW w:w="4124" w:type="pct"/>
            <w:gridSpan w:val="4"/>
            <w:vAlign w:val="center"/>
          </w:tcPr>
          <w:p>
            <w:pPr>
              <w:tabs>
                <w:tab w:val="clear" w:pos="426"/>
              </w:tabs>
              <w:spacing w:line="240" w:lineRule="auto"/>
            </w:pPr>
          </w:p>
          <w:p>
            <w:pPr>
              <w:tabs>
                <w:tab w:val="clear" w:pos="426"/>
              </w:tabs>
              <w:spacing w:line="240" w:lineRule="auto"/>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6" w:type="pct"/>
            <w:gridSpan w:val="2"/>
            <w:vAlign w:val="center"/>
          </w:tcPr>
          <w:p>
            <w:pPr>
              <w:tabs>
                <w:tab w:val="clear" w:pos="426"/>
              </w:tabs>
              <w:spacing w:line="240" w:lineRule="auto"/>
            </w:pPr>
            <w:r>
              <w:rPr>
                <w:rFonts w:hint="eastAsia"/>
              </w:rPr>
              <w:t>采购单位意见</w:t>
            </w:r>
          </w:p>
          <w:p>
            <w:pPr>
              <w:tabs>
                <w:tab w:val="clear" w:pos="426"/>
              </w:tabs>
              <w:spacing w:line="240" w:lineRule="auto"/>
            </w:pPr>
            <w:r>
              <w:rPr>
                <w:rFonts w:hint="eastAsia"/>
              </w:rPr>
              <w:t>（公章）</w:t>
            </w:r>
          </w:p>
        </w:tc>
        <w:tc>
          <w:tcPr>
            <w:tcW w:w="4124" w:type="pct"/>
            <w:gridSpan w:val="4"/>
            <w:vAlign w:val="center"/>
          </w:tcPr>
          <w:p>
            <w:pPr>
              <w:tabs>
                <w:tab w:val="clear" w:pos="426"/>
              </w:tabs>
              <w:spacing w:line="240" w:lineRule="auto"/>
            </w:pPr>
          </w:p>
          <w:p>
            <w:pPr>
              <w:tabs>
                <w:tab w:val="clear" w:pos="426"/>
              </w:tabs>
              <w:spacing w:line="240" w:lineRule="auto"/>
            </w:pPr>
          </w:p>
          <w:p>
            <w:pPr>
              <w:tabs>
                <w:tab w:val="clear" w:pos="426"/>
              </w:tabs>
              <w:spacing w:line="240" w:lineRule="auto"/>
            </w:pPr>
          </w:p>
          <w:p>
            <w:pPr>
              <w:tabs>
                <w:tab w:val="clear" w:pos="426"/>
              </w:tabs>
              <w:spacing w:line="240" w:lineRule="auto"/>
            </w:pPr>
            <w:r>
              <w:rPr>
                <w:rFonts w:hint="eastAsia"/>
              </w:rPr>
              <w:t>日期：   年   月   日</w:t>
            </w:r>
          </w:p>
        </w:tc>
      </w:tr>
    </w:tbl>
    <w:p>
      <w:pPr>
        <w:tabs>
          <w:tab w:val="clear" w:pos="426"/>
        </w:tabs>
      </w:pPr>
      <w:r>
        <w:rPr>
          <w:rFonts w:hint="eastAsia"/>
        </w:rPr>
        <w:t>说明：</w:t>
      </w:r>
    </w:p>
    <w:p>
      <w:pPr>
        <w:tabs>
          <w:tab w:val="clear" w:pos="426"/>
        </w:tabs>
      </w:pPr>
      <w:r>
        <w:rPr>
          <w:rFonts w:hint="eastAsia"/>
        </w:rPr>
        <w:t>1.本表为采购单位向深圳交易集团有限公司政府采购业务分公司反映政府采购项目履约情况时所用，谈判应答文件中无需提供；</w:t>
      </w:r>
    </w:p>
    <w:p>
      <w:pPr>
        <w:tabs>
          <w:tab w:val="clear" w:pos="426"/>
        </w:tabs>
      </w:pPr>
      <w:r>
        <w:rPr>
          <w:rFonts w:hint="eastAsia"/>
        </w:rPr>
        <w:t>2.履约情况评价分为优、良、中、差四个等级，请在对应的框前打“√”，然后在“具体情况说明”一栏详细说明有关情况。</w:t>
      </w:r>
    </w:p>
    <w:p>
      <w:pPr>
        <w:tabs>
          <w:tab w:val="clear" w:pos="426"/>
        </w:tabs>
      </w:pPr>
    </w:p>
    <w:p>
      <w:pPr>
        <w:pStyle w:val="309"/>
        <w:pageBreakBefore/>
      </w:pPr>
      <w:bookmarkStart w:id="36" w:name="_Toc96518508"/>
      <w:bookmarkStart w:id="37" w:name="_Toc96518645"/>
      <w:bookmarkStart w:id="38" w:name="_Toc96519541"/>
      <w:r>
        <w:rPr>
          <w:rFonts w:hint="eastAsia"/>
        </w:rPr>
        <w:t>第五章 谈判应答文件格式、附件</w:t>
      </w:r>
      <w:bookmarkEnd w:id="36"/>
      <w:bookmarkEnd w:id="37"/>
      <w:bookmarkEnd w:id="38"/>
    </w:p>
    <w:p>
      <w:pPr>
        <w:tabs>
          <w:tab w:val="clear" w:pos="426"/>
        </w:tabs>
        <w:rPr>
          <w:rStyle w:val="59"/>
          <w:rFonts w:ascii="宋体" w:eastAsia="宋体"/>
          <w:sz w:val="24"/>
        </w:rPr>
      </w:pPr>
    </w:p>
    <w:p>
      <w:pPr>
        <w:tabs>
          <w:tab w:val="clear" w:pos="426"/>
        </w:tabs>
      </w:pPr>
      <w:bookmarkStart w:id="39" w:name="_Toc41557708"/>
      <w:r>
        <w:rPr>
          <w:rFonts w:hint="eastAsia" w:ascii="黑体" w:eastAsia="黑体"/>
          <w:bCs/>
          <w:sz w:val="24"/>
        </w:rPr>
        <w:t>特别提醒：</w:t>
      </w:r>
      <w:r>
        <w:rPr>
          <w:rFonts w:hint="eastAsia"/>
        </w:rPr>
        <w:t>谈判应答人在编辑谈判应答文件时，应严格按照采购文件提供的格式进行编写，因未按要求编写导致谈判应答文件不予受理、谈判应答无效或谈判应答无效的，一切后果由供应商自行承担。</w:t>
      </w:r>
    </w:p>
    <w:p>
      <w:pPr>
        <w:tabs>
          <w:tab w:val="clear" w:pos="426"/>
        </w:tabs>
      </w:pPr>
    </w:p>
    <w:p>
      <w:pPr>
        <w:tabs>
          <w:tab w:val="clear" w:pos="426"/>
        </w:tabs>
      </w:pPr>
    </w:p>
    <w:p>
      <w:pPr>
        <w:tabs>
          <w:tab w:val="clear" w:pos="426"/>
        </w:tabs>
      </w:pPr>
      <w:r>
        <w:rPr>
          <w:rFonts w:hint="eastAsia"/>
        </w:rPr>
        <w:t>谈判应答文件组成：</w:t>
      </w:r>
    </w:p>
    <w:p>
      <w:pPr>
        <w:tabs>
          <w:tab w:val="clear" w:pos="426"/>
        </w:tabs>
      </w:pPr>
    </w:p>
    <w:p>
      <w:pPr>
        <w:tabs>
          <w:tab w:val="clear" w:pos="426"/>
        </w:tabs>
        <w:spacing w:line="240" w:lineRule="auto"/>
      </w:pPr>
      <w:r>
        <w:rPr>
          <w:rFonts w:hint="eastAsia"/>
        </w:rPr>
        <w:t>密封袋封条格式</w:t>
      </w:r>
    </w:p>
    <w:p>
      <w:pPr>
        <w:tabs>
          <w:tab w:val="clear" w:pos="426"/>
        </w:tabs>
        <w:spacing w:line="240" w:lineRule="auto"/>
      </w:pPr>
      <w:r>
        <w:rPr>
          <w:rFonts w:hint="eastAsia"/>
        </w:rPr>
        <w:t>谈判应答文件封面格式</w:t>
      </w:r>
    </w:p>
    <w:p>
      <w:pPr>
        <w:tabs>
          <w:tab w:val="clear" w:pos="426"/>
        </w:tabs>
        <w:spacing w:line="240" w:lineRule="auto"/>
      </w:pPr>
      <w:r>
        <w:rPr>
          <w:rFonts w:hint="eastAsia"/>
        </w:rPr>
        <w:t>目录（目录格式自定）</w:t>
      </w:r>
    </w:p>
    <w:p>
      <w:pPr>
        <w:tabs>
          <w:tab w:val="clear" w:pos="426"/>
        </w:tabs>
        <w:spacing w:line="240" w:lineRule="auto"/>
      </w:pPr>
      <w:r>
        <w:rPr>
          <w:rFonts w:hint="eastAsia"/>
        </w:rPr>
        <w:t>谈判指引表</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谈判应答函</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政府采购谈判应答及履约承诺函</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法定代表人授权委托书、法定代表人证明书</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谈判应答人基本情况表</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谈判初始报价一览表（报价表）</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实质性响应条款偏离表</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服务条款偏离表（实质性条款除外）</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项目实施方案</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优惠政策声明函等证明文件（可选）</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代理服务费承诺书</w:t>
      </w:r>
    </w:p>
    <w:p>
      <w:pPr>
        <w:widowControl w:val="0"/>
        <w:numPr>
          <w:ilvl w:val="0"/>
          <w:numId w:val="28"/>
        </w:numPr>
        <w:shd w:val="clear" w:color="auto" w:fill="auto"/>
        <w:tabs>
          <w:tab w:val="clear" w:pos="426"/>
        </w:tabs>
        <w:adjustRightInd/>
        <w:snapToGrid/>
        <w:spacing w:line="240" w:lineRule="auto"/>
        <w:ind w:left="426"/>
        <w:rPr>
          <w:rFonts w:ascii="Times New Roman" w:hAnsi="Times New Roman" w:cs="Times New Roman"/>
          <w:kern w:val="2"/>
          <w:sz w:val="24"/>
        </w:rPr>
      </w:pPr>
      <w:r>
        <w:rPr>
          <w:rFonts w:hint="eastAsia" w:ascii="Times New Roman" w:hAnsi="Times New Roman" w:cs="Times New Roman"/>
          <w:kern w:val="2"/>
          <w:sz w:val="24"/>
        </w:rPr>
        <w:t>采购文件要求的其他内容及谈判应答人认为需要加以说明的其他内容</w:t>
      </w:r>
    </w:p>
    <w:p>
      <w:pPr>
        <w:widowControl w:val="0"/>
        <w:shd w:val="clear" w:color="auto" w:fill="auto"/>
        <w:tabs>
          <w:tab w:val="clear" w:pos="426"/>
        </w:tabs>
        <w:adjustRightInd/>
        <w:snapToGrid/>
        <w:spacing w:line="240" w:lineRule="auto"/>
        <w:ind w:left="426"/>
        <w:rPr>
          <w:rFonts w:ascii="Times New Roman" w:hAnsi="Times New Roman" w:cs="Times New Roman"/>
          <w:bCs/>
          <w:kern w:val="2"/>
          <w:sz w:val="24"/>
        </w:rPr>
      </w:pPr>
    </w:p>
    <w:p>
      <w:pPr>
        <w:tabs>
          <w:tab w:val="clear" w:pos="426"/>
        </w:tabs>
        <w:rPr>
          <w:b/>
          <w:bCs/>
        </w:rPr>
      </w:pPr>
    </w:p>
    <w:p>
      <w:pPr>
        <w:adjustRightInd/>
        <w:snapToGrid/>
        <w:spacing w:before="280" w:after="290" w:line="377" w:lineRule="auto"/>
        <w:jc w:val="center"/>
        <w:outlineLvl w:val="2"/>
        <w:rPr>
          <w:b/>
          <w:sz w:val="24"/>
        </w:rPr>
      </w:pPr>
      <w:r>
        <w:br w:type="page"/>
      </w:r>
    </w:p>
    <w:p>
      <w:pPr>
        <w:tabs>
          <w:tab w:val="clear" w:pos="426"/>
        </w:tabs>
        <w:adjustRightInd/>
        <w:snapToGrid/>
        <w:spacing w:before="280" w:after="290" w:line="377" w:lineRule="auto"/>
        <w:jc w:val="center"/>
        <w:outlineLvl w:val="2"/>
        <w:rPr>
          <w:b/>
          <w:sz w:val="24"/>
        </w:rPr>
      </w:pPr>
      <w:r>
        <w:rPr>
          <w:rFonts w:hint="eastAsia"/>
          <w:b/>
          <w:sz w:val="24"/>
        </w:rPr>
        <w:t>密封袋封条格式</w:t>
      </w:r>
    </w:p>
    <w:p>
      <w:pPr>
        <w:tabs>
          <w:tab w:val="clear" w:pos="426"/>
        </w:tabs>
        <w:adjustRightInd/>
        <w:snapToGrid/>
        <w:spacing w:before="280" w:after="290" w:line="377" w:lineRule="auto"/>
        <w:jc w:val="center"/>
        <w:outlineLvl w:val="2"/>
        <w:rPr>
          <w:b/>
          <w:sz w:val="24"/>
        </w:rPr>
      </w:pPr>
      <w:r>
        <w:rPr>
          <w:rFonts w:hint="eastAsia"/>
          <w:b/>
          <w:sz w:val="24"/>
        </w:rPr>
        <w:t>谈判应答文件封面格式</w:t>
      </w:r>
    </w:p>
    <w:p>
      <w:pPr>
        <w:tabs>
          <w:tab w:val="clear" w:pos="426"/>
        </w:tabs>
        <w:jc w:val="right"/>
        <w:rPr>
          <w:sz w:val="44"/>
          <w:szCs w:val="44"/>
          <w:u w:val="single"/>
        </w:rPr>
      </w:pPr>
      <w:r>
        <w:rPr>
          <w:rFonts w:hint="eastAsia"/>
          <w:sz w:val="44"/>
          <w:szCs w:val="44"/>
          <w:u w:val="single"/>
        </w:rPr>
        <w:t>正/副本</w:t>
      </w:r>
    </w:p>
    <w:p>
      <w:pPr>
        <w:tabs>
          <w:tab w:val="clear" w:pos="426"/>
        </w:tabs>
        <w:jc w:val="center"/>
        <w:rPr>
          <w:sz w:val="44"/>
          <w:szCs w:val="44"/>
          <w:u w:val="single"/>
        </w:rPr>
      </w:pPr>
    </w:p>
    <w:p>
      <w:pPr>
        <w:tabs>
          <w:tab w:val="clear" w:pos="426"/>
        </w:tabs>
        <w:jc w:val="center"/>
        <w:rPr>
          <w:sz w:val="44"/>
          <w:szCs w:val="44"/>
        </w:rPr>
      </w:pPr>
      <w:r>
        <w:rPr>
          <w:rFonts w:hint="eastAsia"/>
          <w:sz w:val="44"/>
          <w:szCs w:val="44"/>
          <w:u w:val="single"/>
        </w:rPr>
        <w:t>第一届民谣音乐节暨水木年华系列演出活动</w:t>
      </w:r>
    </w:p>
    <w:p>
      <w:pPr>
        <w:tabs>
          <w:tab w:val="clear" w:pos="426"/>
        </w:tabs>
        <w:jc w:val="center"/>
      </w:pPr>
    </w:p>
    <w:p>
      <w:pPr>
        <w:tabs>
          <w:tab w:val="clear" w:pos="426"/>
        </w:tabs>
        <w:jc w:val="center"/>
      </w:pPr>
    </w:p>
    <w:p>
      <w:pPr>
        <w:tabs>
          <w:tab w:val="clear" w:pos="426"/>
        </w:tabs>
        <w:jc w:val="center"/>
        <w:rPr>
          <w:sz w:val="52"/>
          <w:szCs w:val="52"/>
        </w:rPr>
      </w:pPr>
      <w:r>
        <w:rPr>
          <w:rFonts w:hint="eastAsia"/>
          <w:sz w:val="52"/>
          <w:szCs w:val="52"/>
        </w:rPr>
        <w:t>谈判应答文件</w:t>
      </w:r>
    </w:p>
    <w:p>
      <w:pPr>
        <w:tabs>
          <w:tab w:val="clear" w:pos="426"/>
        </w:tabs>
        <w:rPr>
          <w:sz w:val="52"/>
          <w:szCs w:val="52"/>
        </w:rPr>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pPr>
    </w:p>
    <w:p>
      <w:pPr>
        <w:tabs>
          <w:tab w:val="clear" w:pos="426"/>
        </w:tabs>
        <w:ind w:left="1275" w:leftChars="607"/>
        <w:rPr>
          <w:sz w:val="28"/>
          <w:szCs w:val="28"/>
        </w:rPr>
      </w:pPr>
      <w:r>
        <w:rPr>
          <w:rFonts w:hint="eastAsia"/>
          <w:sz w:val="28"/>
          <w:szCs w:val="28"/>
        </w:rPr>
        <w:t>采购项目编号：</w:t>
      </w:r>
      <w:r>
        <w:rPr>
          <w:rFonts w:hint="eastAsia"/>
          <w:sz w:val="28"/>
          <w:szCs w:val="28"/>
          <w:u w:val="single"/>
        </w:rPr>
        <w:t>___________________________</w:t>
      </w:r>
      <w:r>
        <w:rPr>
          <w:sz w:val="28"/>
          <w:szCs w:val="28"/>
          <w:u w:val="single"/>
        </w:rPr>
        <w:t>____</w:t>
      </w:r>
      <w:r>
        <w:rPr>
          <w:rFonts w:hint="eastAsia"/>
          <w:sz w:val="28"/>
          <w:szCs w:val="28"/>
          <w:u w:val="single"/>
        </w:rPr>
        <w:t>____</w:t>
      </w:r>
    </w:p>
    <w:p>
      <w:pPr>
        <w:tabs>
          <w:tab w:val="clear" w:pos="426"/>
        </w:tabs>
        <w:ind w:left="1275" w:leftChars="607"/>
        <w:rPr>
          <w:sz w:val="28"/>
          <w:szCs w:val="28"/>
        </w:rPr>
      </w:pPr>
      <w:r>
        <w:rPr>
          <w:rFonts w:hint="eastAsia"/>
          <w:sz w:val="28"/>
          <w:szCs w:val="28"/>
        </w:rPr>
        <w:t>谈判应答人名称（公章)：</w:t>
      </w:r>
      <w:r>
        <w:rPr>
          <w:rFonts w:hint="eastAsia"/>
          <w:sz w:val="28"/>
          <w:szCs w:val="28"/>
          <w:u w:val="single"/>
        </w:rPr>
        <w:t>__________________________</w:t>
      </w:r>
    </w:p>
    <w:p>
      <w:pPr>
        <w:tabs>
          <w:tab w:val="clear" w:pos="426"/>
        </w:tabs>
        <w:ind w:left="1275" w:leftChars="607"/>
        <w:rPr>
          <w:sz w:val="28"/>
          <w:szCs w:val="28"/>
        </w:rPr>
      </w:pPr>
      <w:r>
        <w:rPr>
          <w:rFonts w:hint="eastAsia"/>
          <w:sz w:val="28"/>
          <w:szCs w:val="28"/>
        </w:rPr>
        <w:t>谈判应答人代表（签名）：</w:t>
      </w:r>
      <w:r>
        <w:rPr>
          <w:rFonts w:hint="eastAsia"/>
          <w:sz w:val="28"/>
          <w:szCs w:val="28"/>
          <w:u w:val="single"/>
        </w:rPr>
        <w:t>_______________</w:t>
      </w:r>
      <w:r>
        <w:rPr>
          <w:rFonts w:hint="eastAsia"/>
          <w:sz w:val="28"/>
          <w:szCs w:val="28"/>
        </w:rPr>
        <w:t>__________</w:t>
      </w:r>
    </w:p>
    <w:p>
      <w:pPr>
        <w:tabs>
          <w:tab w:val="clear" w:pos="426"/>
        </w:tabs>
        <w:ind w:left="1275" w:leftChars="607"/>
        <w:rPr>
          <w:sz w:val="28"/>
          <w:szCs w:val="28"/>
        </w:rPr>
      </w:pPr>
      <w:r>
        <w:rPr>
          <w:rFonts w:hint="eastAsia"/>
          <w:sz w:val="28"/>
          <w:szCs w:val="28"/>
        </w:rPr>
        <w:t>谈判应答日期：__________________年_____月_</w:t>
      </w:r>
      <w:r>
        <w:rPr>
          <w:rFonts w:hint="eastAsia"/>
          <w:sz w:val="28"/>
          <w:szCs w:val="28"/>
          <w:u w:val="single"/>
        </w:rPr>
        <w:t>_____</w:t>
      </w:r>
      <w:r>
        <w:rPr>
          <w:rFonts w:hint="eastAsia"/>
          <w:sz w:val="28"/>
          <w:szCs w:val="28"/>
        </w:rPr>
        <w:t>日</w:t>
      </w:r>
    </w:p>
    <w:p>
      <w:pPr>
        <w:tabs>
          <w:tab w:val="clear" w:pos="426"/>
        </w:tabs>
        <w:ind w:left="708" w:leftChars="337"/>
        <w:rPr>
          <w:sz w:val="28"/>
          <w:szCs w:val="28"/>
        </w:rPr>
      </w:pPr>
    </w:p>
    <w:p>
      <w:pPr>
        <w:tabs>
          <w:tab w:val="clear" w:pos="426"/>
        </w:tabs>
      </w:pPr>
    </w:p>
    <w:p>
      <w:pPr>
        <w:tabs>
          <w:tab w:val="clear" w:pos="426"/>
        </w:tabs>
        <w:adjustRightInd/>
        <w:snapToGrid/>
        <w:spacing w:before="280" w:after="290" w:line="377" w:lineRule="auto"/>
        <w:jc w:val="center"/>
        <w:outlineLvl w:val="2"/>
        <w:rPr>
          <w:b/>
          <w:sz w:val="24"/>
        </w:rPr>
      </w:pPr>
      <w:r>
        <w:rPr>
          <w:rFonts w:hint="eastAsia"/>
          <w:b/>
          <w:sz w:val="24"/>
        </w:rPr>
        <w:t>谈判指引表</w:t>
      </w:r>
    </w:p>
    <w:p>
      <w:pPr>
        <w:tabs>
          <w:tab w:val="clear" w:pos="426"/>
        </w:tabs>
        <w:jc w:val="center"/>
        <w:rPr>
          <w:b/>
        </w:rPr>
      </w:pPr>
      <w:r>
        <w:rPr>
          <w:rFonts w:hint="eastAsia"/>
          <w:b/>
        </w:rPr>
        <w:t>（置于谈判应答文件的首页）</w:t>
      </w:r>
    </w:p>
    <w:p>
      <w:pPr>
        <w:tabs>
          <w:tab w:val="clear" w:pos="426"/>
        </w:tabs>
        <w:ind w:firstLine="420" w:firstLineChars="200"/>
      </w:pPr>
      <w:r>
        <w:rPr>
          <w:rFonts w:hint="eastAsia"/>
          <w:szCs w:val="21"/>
        </w:rPr>
        <w:t>为方便参与该项目的评委专家的谈判，快速找到谈判事项与该项目谈判应答文件所对应的位置，请谈判应答人参照下表格式，编制本项目谈判指引表。</w:t>
      </w:r>
    </w:p>
    <w:p>
      <w:pPr>
        <w:tabs>
          <w:tab w:val="clear" w:pos="426"/>
        </w:tabs>
        <w:rPr>
          <w:rFonts w:ascii="Times New Roman" w:hAnsi="Times New Roman" w:cs="Times New Roman"/>
          <w:kern w:val="2"/>
          <w:szCs w:val="20"/>
        </w:rPr>
      </w:pPr>
      <w:r>
        <w:rPr>
          <w:rFonts w:hint="eastAsia" w:ascii="Times New Roman" w:hAnsi="Times New Roman" w:cs="Times New Roman"/>
          <w:kern w:val="2"/>
          <w:szCs w:val="20"/>
        </w:rPr>
        <w:t>项目名称：第一届民谣音乐节暨水木年华系列演出活动</w:t>
      </w:r>
    </w:p>
    <w:p>
      <w:pPr>
        <w:tabs>
          <w:tab w:val="clear" w:pos="426"/>
        </w:tabs>
        <w:rPr>
          <w:rFonts w:ascii="Times New Roman" w:hAnsi="Times New Roman" w:cs="Times New Roman"/>
          <w:kern w:val="2"/>
          <w:szCs w:val="20"/>
        </w:rPr>
      </w:pPr>
      <w:r>
        <w:rPr>
          <w:rFonts w:hint="eastAsia" w:ascii="Times New Roman" w:hAnsi="Times New Roman" w:cs="Times New Roman"/>
          <w:kern w:val="2"/>
          <w:szCs w:val="20"/>
        </w:rPr>
        <w:t>采购项目编号：</w:t>
      </w:r>
      <w:r>
        <w:rPr>
          <w:rFonts w:ascii="Times New Roman" w:hAnsi="Times New Roman" w:cs="Times New Roman"/>
          <w:kern w:val="2"/>
          <w:szCs w:val="20"/>
        </w:rPr>
        <w:t xml:space="preserve"> XRZB202204001</w:t>
      </w:r>
    </w:p>
    <w:p>
      <w:pPr>
        <w:tabs>
          <w:tab w:val="clear" w:pos="426"/>
        </w:tabs>
        <w:jc w:val="center"/>
        <w:rPr>
          <w:b/>
        </w:rPr>
      </w:pPr>
      <w:r>
        <w:rPr>
          <w:rFonts w:hint="eastAsia"/>
          <w:b/>
        </w:rPr>
        <w:t>项目谈判指引表</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203"/>
        <w:gridCol w:w="1740"/>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tabs>
                <w:tab w:val="clear" w:pos="426"/>
              </w:tabs>
              <w:adjustRightInd/>
              <w:snapToGrid/>
              <w:spacing w:line="240" w:lineRule="auto"/>
              <w:jc w:val="center"/>
              <w:rPr>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tabs>
                <w:tab w:val="clear" w:pos="426"/>
              </w:tabs>
              <w:adjustRightInd/>
              <w:snapToGrid/>
              <w:spacing w:line="240" w:lineRule="auto"/>
              <w:jc w:val="center"/>
              <w:rPr>
                <w:b/>
              </w:rPr>
            </w:pPr>
            <w:r>
              <w:rPr>
                <w:rFonts w:hint="eastAsia"/>
                <w:b/>
              </w:rPr>
              <w:t>序号</w:t>
            </w:r>
          </w:p>
        </w:tc>
        <w:tc>
          <w:tcPr>
            <w:tcW w:w="2196" w:type="pct"/>
            <w:vAlign w:val="center"/>
          </w:tcPr>
          <w:p>
            <w:pPr>
              <w:tabs>
                <w:tab w:val="clear" w:pos="426"/>
              </w:tabs>
              <w:adjustRightInd/>
              <w:snapToGrid/>
              <w:spacing w:line="240" w:lineRule="auto"/>
              <w:jc w:val="center"/>
              <w:rPr>
                <w:b/>
              </w:rPr>
            </w:pPr>
            <w:r>
              <w:rPr>
                <w:rFonts w:hint="eastAsia"/>
                <w:b/>
              </w:rPr>
              <w:t>资格性审查项目</w:t>
            </w:r>
          </w:p>
        </w:tc>
        <w:tc>
          <w:tcPr>
            <w:tcW w:w="1622" w:type="pct"/>
            <w:gridSpan w:val="2"/>
            <w:vAlign w:val="center"/>
          </w:tcPr>
          <w:p>
            <w:pPr>
              <w:tabs>
                <w:tab w:val="clear" w:pos="426"/>
              </w:tabs>
              <w:adjustRightInd/>
              <w:snapToGrid/>
              <w:spacing w:line="240" w:lineRule="auto"/>
              <w:jc w:val="center"/>
              <w:rPr>
                <w:b/>
              </w:rPr>
            </w:pPr>
            <w:r>
              <w:rPr>
                <w:rFonts w:hint="eastAsia"/>
                <w:b/>
              </w:rPr>
              <w:t>证明文件</w:t>
            </w:r>
          </w:p>
        </w:tc>
        <w:tc>
          <w:tcPr>
            <w:tcW w:w="730" w:type="pct"/>
            <w:vAlign w:val="center"/>
          </w:tcPr>
          <w:p>
            <w:pPr>
              <w:tabs>
                <w:tab w:val="clear" w:pos="426"/>
              </w:tabs>
              <w:adjustRightInd/>
              <w:snapToGrid/>
              <w:spacing w:line="240" w:lineRule="auto"/>
              <w:jc w:val="center"/>
              <w:rPr>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restart"/>
            <w:vAlign w:val="center"/>
          </w:tcPr>
          <w:p>
            <w:pPr>
              <w:tabs>
                <w:tab w:val="clear" w:pos="426"/>
              </w:tabs>
              <w:adjustRightInd/>
              <w:snapToGrid/>
              <w:spacing w:line="240" w:lineRule="auto"/>
              <w:jc w:val="center"/>
              <w:rPr>
                <w:bCs/>
              </w:rPr>
            </w:pPr>
            <w:r>
              <w:rPr>
                <w:bCs/>
              </w:rPr>
              <w:t>1</w:t>
            </w:r>
          </w:p>
        </w:tc>
        <w:tc>
          <w:tcPr>
            <w:tcW w:w="2196" w:type="pct"/>
            <w:vMerge w:val="restart"/>
            <w:vAlign w:val="center"/>
          </w:tcPr>
          <w:p>
            <w:pPr>
              <w:tabs>
                <w:tab w:val="clear" w:pos="426"/>
              </w:tabs>
              <w:adjustRightInd/>
              <w:snapToGrid/>
              <w:spacing w:line="240" w:lineRule="auto"/>
              <w:jc w:val="center"/>
              <w:rPr>
                <w:b/>
              </w:rPr>
            </w:pPr>
            <w:r>
              <w:rPr>
                <w:rFonts w:hint="eastAsia"/>
                <w:color w:val="000000"/>
              </w:rPr>
              <w:t>谈判应答人资质要求</w:t>
            </w:r>
          </w:p>
        </w:tc>
        <w:tc>
          <w:tcPr>
            <w:tcW w:w="1622" w:type="pct"/>
            <w:gridSpan w:val="2"/>
            <w:vAlign w:val="center"/>
          </w:tcPr>
          <w:p>
            <w:pPr>
              <w:tabs>
                <w:tab w:val="clear" w:pos="426"/>
              </w:tabs>
              <w:adjustRightInd/>
              <w:snapToGrid/>
              <w:spacing w:line="240" w:lineRule="auto"/>
              <w:jc w:val="center"/>
            </w:pPr>
            <w:r>
              <w:rPr>
                <w:rFonts w:hint="eastAsia"/>
              </w:rPr>
              <w:t>营业执照</w:t>
            </w:r>
          </w:p>
        </w:tc>
        <w:tc>
          <w:tcPr>
            <w:tcW w:w="730" w:type="pct"/>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Cs/>
              </w:rPr>
            </w:pPr>
          </w:p>
        </w:tc>
        <w:tc>
          <w:tcPr>
            <w:tcW w:w="2196" w:type="pct"/>
            <w:vMerge w:val="continue"/>
            <w:vAlign w:val="center"/>
          </w:tcPr>
          <w:p>
            <w:pPr>
              <w:tabs>
                <w:tab w:val="clear" w:pos="426"/>
              </w:tabs>
              <w:adjustRightInd/>
              <w:snapToGrid/>
              <w:spacing w:line="240" w:lineRule="auto"/>
              <w:jc w:val="center"/>
              <w:rPr>
                <w:color w:val="000000"/>
              </w:rPr>
            </w:pPr>
          </w:p>
        </w:tc>
        <w:tc>
          <w:tcPr>
            <w:tcW w:w="1622" w:type="pct"/>
            <w:gridSpan w:val="2"/>
            <w:vAlign w:val="center"/>
          </w:tcPr>
          <w:p>
            <w:pPr>
              <w:tabs>
                <w:tab w:val="clear" w:pos="426"/>
              </w:tabs>
              <w:adjustRightInd/>
              <w:snapToGrid/>
              <w:spacing w:line="240" w:lineRule="auto"/>
              <w:jc w:val="center"/>
            </w:pPr>
            <w:r>
              <w:rPr>
                <w:rFonts w:hint="eastAsia"/>
              </w:rPr>
              <w:t>……</w:t>
            </w:r>
          </w:p>
        </w:tc>
        <w:tc>
          <w:tcPr>
            <w:tcW w:w="730" w:type="pct"/>
            <w:shd w:val="clear" w:color="auto" w:fill="auto"/>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Cs/>
              </w:rPr>
            </w:pPr>
          </w:p>
        </w:tc>
        <w:tc>
          <w:tcPr>
            <w:tcW w:w="2196" w:type="pct"/>
            <w:vMerge w:val="continue"/>
            <w:vAlign w:val="center"/>
          </w:tcPr>
          <w:p>
            <w:pPr>
              <w:tabs>
                <w:tab w:val="clear" w:pos="426"/>
              </w:tabs>
              <w:adjustRightInd/>
              <w:snapToGrid/>
              <w:spacing w:line="240" w:lineRule="auto"/>
              <w:jc w:val="center"/>
              <w:rPr>
                <w:color w:val="000000"/>
              </w:rPr>
            </w:pPr>
          </w:p>
        </w:tc>
        <w:tc>
          <w:tcPr>
            <w:tcW w:w="1622" w:type="pct"/>
            <w:gridSpan w:val="2"/>
            <w:vAlign w:val="center"/>
          </w:tcPr>
          <w:p>
            <w:pPr>
              <w:tabs>
                <w:tab w:val="clear" w:pos="426"/>
              </w:tabs>
              <w:adjustRightInd/>
              <w:snapToGrid/>
              <w:spacing w:line="240" w:lineRule="auto"/>
              <w:jc w:val="cente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Cs/>
              </w:rPr>
            </w:pPr>
          </w:p>
        </w:tc>
        <w:tc>
          <w:tcPr>
            <w:tcW w:w="2196" w:type="pct"/>
            <w:vMerge w:val="continue"/>
            <w:vAlign w:val="center"/>
          </w:tcPr>
          <w:p>
            <w:pPr>
              <w:tabs>
                <w:tab w:val="clear" w:pos="426"/>
              </w:tabs>
              <w:adjustRightInd/>
              <w:snapToGrid/>
              <w:spacing w:line="240" w:lineRule="auto"/>
              <w:jc w:val="center"/>
              <w:rPr>
                <w:color w:val="000000"/>
              </w:rPr>
            </w:pPr>
          </w:p>
        </w:tc>
        <w:tc>
          <w:tcPr>
            <w:tcW w:w="1622"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Cs/>
              </w:rPr>
            </w:pPr>
          </w:p>
        </w:tc>
        <w:tc>
          <w:tcPr>
            <w:tcW w:w="2196" w:type="pct"/>
            <w:vMerge w:val="continue"/>
            <w:vAlign w:val="center"/>
          </w:tcPr>
          <w:p>
            <w:pPr>
              <w:tabs>
                <w:tab w:val="clear" w:pos="426"/>
              </w:tabs>
              <w:adjustRightInd/>
              <w:snapToGrid/>
              <w:spacing w:line="240" w:lineRule="auto"/>
              <w:jc w:val="center"/>
              <w:rPr>
                <w:color w:val="000000"/>
              </w:rPr>
            </w:pPr>
          </w:p>
        </w:tc>
        <w:tc>
          <w:tcPr>
            <w:tcW w:w="1622"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Merge w:val="continue"/>
            <w:vAlign w:val="center"/>
          </w:tcPr>
          <w:p>
            <w:pPr>
              <w:tabs>
                <w:tab w:val="clear" w:pos="426"/>
              </w:tabs>
              <w:adjustRightInd/>
              <w:snapToGrid/>
              <w:spacing w:line="240" w:lineRule="auto"/>
              <w:jc w:val="center"/>
              <w:rPr>
                <w:bCs/>
              </w:rPr>
            </w:pPr>
          </w:p>
        </w:tc>
        <w:tc>
          <w:tcPr>
            <w:tcW w:w="2196" w:type="pct"/>
            <w:vMerge w:val="continue"/>
            <w:vAlign w:val="center"/>
          </w:tcPr>
          <w:p>
            <w:pPr>
              <w:tabs>
                <w:tab w:val="clear" w:pos="426"/>
              </w:tabs>
              <w:adjustRightInd/>
              <w:snapToGrid/>
              <w:spacing w:line="240" w:lineRule="auto"/>
              <w:jc w:val="center"/>
              <w:rPr>
                <w:color w:val="000000"/>
              </w:rPr>
            </w:pPr>
          </w:p>
        </w:tc>
        <w:tc>
          <w:tcPr>
            <w:tcW w:w="1622" w:type="pct"/>
            <w:gridSpan w:val="2"/>
            <w:vAlign w:val="center"/>
          </w:tcPr>
          <w:p>
            <w:pPr>
              <w:tabs>
                <w:tab w:val="clear" w:pos="426"/>
              </w:tabs>
              <w:adjustRightInd/>
              <w:snapToGrid/>
              <w:spacing w:line="240" w:lineRule="auto"/>
              <w:jc w:val="center"/>
              <w:rPr>
                <w:b/>
              </w:rPr>
            </w:pPr>
          </w:p>
        </w:tc>
        <w:tc>
          <w:tcPr>
            <w:tcW w:w="730" w:type="pct"/>
            <w:vAlign w:val="center"/>
          </w:tcPr>
          <w:p>
            <w:pPr>
              <w:tabs>
                <w:tab w:val="clear" w:pos="426"/>
              </w:tabs>
              <w:adjustRightInd/>
              <w:snapToGrid/>
              <w:spacing w:line="240" w:lineRule="auto"/>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tabs>
                <w:tab w:val="clear" w:pos="426"/>
              </w:tabs>
              <w:adjustRightInd/>
              <w:snapToGrid/>
              <w:spacing w:line="240" w:lineRule="auto"/>
              <w:jc w:val="center"/>
              <w:rPr>
                <w:b/>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tabs>
                <w:tab w:val="clear" w:pos="426"/>
              </w:tabs>
              <w:adjustRightInd/>
              <w:snapToGrid/>
              <w:spacing w:line="240" w:lineRule="auto"/>
              <w:jc w:val="center"/>
              <w:rPr>
                <w:b/>
              </w:rPr>
            </w:pPr>
            <w:r>
              <w:rPr>
                <w:rFonts w:hint="eastAsia"/>
                <w:b/>
              </w:rPr>
              <w:t>序号</w:t>
            </w:r>
          </w:p>
        </w:tc>
        <w:tc>
          <w:tcPr>
            <w:tcW w:w="3105" w:type="pct"/>
            <w:gridSpan w:val="2"/>
            <w:vAlign w:val="center"/>
          </w:tcPr>
          <w:p>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pPr>
              <w:tabs>
                <w:tab w:val="clear" w:pos="426"/>
              </w:tabs>
              <w:adjustRightInd/>
              <w:snapToGrid/>
              <w:spacing w:line="240" w:lineRule="auto"/>
              <w:jc w:val="center"/>
              <w:rPr>
                <w:b/>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w:t>
            </w:r>
          </w:p>
        </w:tc>
        <w:tc>
          <w:tcPr>
            <w:tcW w:w="3105" w:type="pct"/>
            <w:gridSpan w:val="2"/>
            <w:vAlign w:val="center"/>
          </w:tcPr>
          <w:p>
            <w:pPr>
              <w:tabs>
                <w:tab w:val="clear" w:pos="426"/>
              </w:tabs>
              <w:adjustRightInd/>
              <w:snapToGrid/>
              <w:spacing w:line="240" w:lineRule="auto"/>
            </w:pPr>
            <w:r>
              <w:rPr>
                <w:rFonts w:hint="eastAsia"/>
              </w:rPr>
              <w:t>未出现将一个包中的内容拆开谈判应答；</w:t>
            </w:r>
          </w:p>
        </w:tc>
        <w:tc>
          <w:tcPr>
            <w:tcW w:w="1443" w:type="pct"/>
            <w:gridSpan w:val="2"/>
            <w:vAlign w:val="center"/>
          </w:tcPr>
          <w:p>
            <w:pPr>
              <w:tabs>
                <w:tab w:val="clear" w:pos="426"/>
              </w:tabs>
              <w:adjustRightInd/>
              <w:snapToGrid/>
              <w:spacing w:line="240" w:lineRule="auto"/>
              <w:jc w:val="cente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2</w:t>
            </w:r>
          </w:p>
        </w:tc>
        <w:tc>
          <w:tcPr>
            <w:tcW w:w="3105" w:type="pct"/>
            <w:gridSpan w:val="2"/>
            <w:vAlign w:val="center"/>
          </w:tcPr>
          <w:p>
            <w:pPr>
              <w:tabs>
                <w:tab w:val="clear" w:pos="426"/>
              </w:tabs>
              <w:adjustRightInd/>
              <w:snapToGrid/>
              <w:spacing w:line="240" w:lineRule="auto"/>
            </w:pPr>
            <w:r>
              <w:rPr>
                <w:szCs w:val="21"/>
              </w:rPr>
              <w:t>没有以他人的名义参与谈判、相互串通进行谈判、以行贿手段谋取成交或者以其他弄虚作假方式谈判；</w:t>
            </w:r>
          </w:p>
        </w:tc>
        <w:tc>
          <w:tcPr>
            <w:tcW w:w="1443" w:type="pct"/>
            <w:gridSpan w:val="2"/>
            <w:vAlign w:val="center"/>
          </w:tcPr>
          <w:p>
            <w:pPr>
              <w:tabs>
                <w:tab w:val="clear" w:pos="426"/>
              </w:tabs>
              <w:adjustRightInd/>
              <w:snapToGrid/>
              <w:spacing w:line="240" w:lineRule="auto"/>
              <w:jc w:val="cente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3</w:t>
            </w:r>
          </w:p>
        </w:tc>
        <w:tc>
          <w:tcPr>
            <w:tcW w:w="3105" w:type="pct"/>
            <w:gridSpan w:val="2"/>
            <w:vAlign w:val="center"/>
          </w:tcPr>
          <w:p>
            <w:pPr>
              <w:tabs>
                <w:tab w:val="clear" w:pos="426"/>
              </w:tabs>
              <w:adjustRightInd/>
              <w:snapToGrid/>
              <w:spacing w:line="240" w:lineRule="auto"/>
            </w:pPr>
            <w:r>
              <w:rPr>
                <w:rFonts w:hint="eastAsia"/>
              </w:rPr>
              <w:t>除采购文件规定允许有替代方案外，对同一项目谈判应答时，未提供两套或两套以上的谈判应答方案；</w:t>
            </w:r>
          </w:p>
        </w:tc>
        <w:tc>
          <w:tcPr>
            <w:tcW w:w="1443" w:type="pct"/>
            <w:gridSpan w:val="2"/>
            <w:vAlign w:val="center"/>
          </w:tcPr>
          <w:p>
            <w:pPr>
              <w:tabs>
                <w:tab w:val="clear" w:pos="426"/>
              </w:tabs>
              <w:adjustRightInd/>
              <w:snapToGrid/>
              <w:spacing w:line="240" w:lineRule="auto"/>
              <w:jc w:val="cente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4</w:t>
            </w:r>
          </w:p>
        </w:tc>
        <w:tc>
          <w:tcPr>
            <w:tcW w:w="3105" w:type="pct"/>
            <w:gridSpan w:val="2"/>
            <w:vAlign w:val="center"/>
          </w:tcPr>
          <w:p>
            <w:pPr>
              <w:tabs>
                <w:tab w:val="clear" w:pos="426"/>
              </w:tabs>
              <w:adjustRightInd/>
              <w:snapToGrid/>
              <w:spacing w:line="240" w:lineRule="auto"/>
            </w:pPr>
            <w:r>
              <w:rPr>
                <w:rFonts w:hint="eastAsia"/>
              </w:rPr>
              <w:t>不存在以下情形：填报的折扣率大于</w:t>
            </w:r>
            <w:r>
              <w:t>1，为负数或零，不是固定唯一值的；</w:t>
            </w:r>
          </w:p>
        </w:tc>
        <w:tc>
          <w:tcPr>
            <w:tcW w:w="1443" w:type="pct"/>
            <w:gridSpan w:val="2"/>
            <w:vAlign w:val="center"/>
          </w:tcPr>
          <w:p>
            <w:pPr>
              <w:tabs>
                <w:tab w:val="clear" w:pos="426"/>
              </w:tabs>
              <w:adjustRightInd/>
              <w:snapToGrid/>
              <w:spacing w:line="240" w:lineRule="auto"/>
              <w:jc w:val="center"/>
            </w:pPr>
            <w:r>
              <w:rPr>
                <w:rFonts w:hint="eastAsia"/>
              </w:rPr>
              <w:t>符合</w:t>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5</w:t>
            </w:r>
          </w:p>
        </w:tc>
        <w:tc>
          <w:tcPr>
            <w:tcW w:w="3105" w:type="pct"/>
            <w:gridSpan w:val="2"/>
            <w:vAlign w:val="center"/>
          </w:tcPr>
          <w:p>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pPr>
              <w:tabs>
                <w:tab w:val="clear" w:pos="426"/>
              </w:tabs>
              <w:adjustRightInd/>
              <w:snapToGrid/>
              <w:spacing w:line="240" w:lineRule="auto"/>
              <w:jc w:val="center"/>
              <w:rPr>
                <w:b/>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6</w:t>
            </w:r>
          </w:p>
        </w:tc>
        <w:tc>
          <w:tcPr>
            <w:tcW w:w="3105" w:type="pct"/>
            <w:gridSpan w:val="2"/>
            <w:vAlign w:val="center"/>
          </w:tcPr>
          <w:p>
            <w:pPr>
              <w:tabs>
                <w:tab w:val="clear" w:pos="426"/>
              </w:tabs>
              <w:adjustRightInd/>
              <w:snapToGrid/>
              <w:spacing w:line="240" w:lineRule="auto"/>
            </w:pPr>
            <w:r>
              <w:rPr>
                <w:rFonts w:hint="eastAsia"/>
              </w:rPr>
              <w:t>不存在以下情形：谈判小组认为谈判应答人的报价明显低于其他通过符合性审查谈判应答人的报价，有可能影响产品质量或者不能诚信履约的，且不能在合理的时间内提供书面说明，或无法提交相关证明材料，谈判应答人不能证明其报价合理性的；</w:t>
            </w:r>
          </w:p>
        </w:tc>
        <w:tc>
          <w:tcPr>
            <w:tcW w:w="1443" w:type="pct"/>
            <w:gridSpan w:val="2"/>
            <w:vAlign w:val="center"/>
          </w:tcPr>
          <w:p>
            <w:pPr>
              <w:tabs>
                <w:tab w:val="clear" w:pos="426"/>
              </w:tabs>
              <w:adjustRightInd/>
              <w:snapToGrid/>
              <w:spacing w:line="240" w:lineRule="auto"/>
              <w:jc w:val="center"/>
              <w:rPr>
                <w:b/>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7</w:t>
            </w:r>
          </w:p>
        </w:tc>
        <w:tc>
          <w:tcPr>
            <w:tcW w:w="3105" w:type="pct"/>
            <w:gridSpan w:val="2"/>
            <w:vAlign w:val="center"/>
          </w:tcPr>
          <w:p>
            <w:pPr>
              <w:tabs>
                <w:tab w:val="clear" w:pos="426"/>
              </w:tabs>
              <w:adjustRightInd/>
              <w:snapToGrid/>
              <w:spacing w:line="240" w:lineRule="auto"/>
            </w:pPr>
            <w:r>
              <w:rPr>
                <w:szCs w:val="21"/>
              </w:rPr>
              <w:t>应商的采购文件对所投工程、货物、服务在报价要求、质量、技术、方案等方面实质性响应采购文件的要求（是否实质性响应</w:t>
            </w:r>
            <w:r>
              <w:rPr>
                <w:rFonts w:hint="eastAsia"/>
                <w:szCs w:val="21"/>
              </w:rPr>
              <w:t>采购文件</w:t>
            </w:r>
            <w:r>
              <w:rPr>
                <w:szCs w:val="21"/>
              </w:rPr>
              <w:t>的要求，由谈判小组来做出评判）；</w:t>
            </w:r>
          </w:p>
        </w:tc>
        <w:tc>
          <w:tcPr>
            <w:tcW w:w="1443" w:type="pct"/>
            <w:gridSpan w:val="2"/>
            <w:vAlign w:val="center"/>
          </w:tcPr>
          <w:p>
            <w:pPr>
              <w:tabs>
                <w:tab w:val="clear" w:pos="426"/>
              </w:tabs>
              <w:adjustRightInd/>
              <w:snapToGrid/>
              <w:spacing w:line="240" w:lineRule="auto"/>
              <w:jc w:val="center"/>
              <w:rPr>
                <w:b/>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8</w:t>
            </w:r>
          </w:p>
        </w:tc>
        <w:tc>
          <w:tcPr>
            <w:tcW w:w="3105" w:type="pct"/>
            <w:gridSpan w:val="2"/>
            <w:vAlign w:val="center"/>
          </w:tcPr>
          <w:p>
            <w:pPr>
              <w:tabs>
                <w:tab w:val="clear" w:pos="426"/>
              </w:tabs>
              <w:adjustRightInd/>
              <w:snapToGrid/>
              <w:spacing w:line="240" w:lineRule="auto"/>
            </w:pPr>
            <w:r>
              <w:rPr>
                <w:szCs w:val="21"/>
              </w:rPr>
              <w:t>按</w:t>
            </w:r>
            <w:r>
              <w:rPr>
                <w:rFonts w:hint="eastAsia"/>
                <w:szCs w:val="21"/>
              </w:rPr>
              <w:t>采购文件</w:t>
            </w:r>
            <w:r>
              <w:rPr>
                <w:szCs w:val="21"/>
              </w:rPr>
              <w:t>所提供的样式填写《应答书》；按</w:t>
            </w:r>
            <w:r>
              <w:rPr>
                <w:rFonts w:hint="eastAsia"/>
                <w:szCs w:val="21"/>
              </w:rPr>
              <w:t>采购文件</w:t>
            </w:r>
            <w:r>
              <w:rPr>
                <w:szCs w:val="21"/>
              </w:rPr>
              <w:t>所提供的《政府采购谈判应答及履约承诺函》进行承诺；按采购文件对应答文件组成的要求提供应答文件；</w:t>
            </w:r>
          </w:p>
        </w:tc>
        <w:tc>
          <w:tcPr>
            <w:tcW w:w="1443" w:type="pct"/>
            <w:gridSpan w:val="2"/>
            <w:vAlign w:val="center"/>
          </w:tcPr>
          <w:p>
            <w:pPr>
              <w:tabs>
                <w:tab w:val="clear" w:pos="426"/>
              </w:tabs>
              <w:adjustRightInd/>
              <w:snapToGrid/>
              <w:spacing w:line="240" w:lineRule="auto"/>
              <w:jc w:val="center"/>
              <w:rPr>
                <w:b/>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9</w:t>
            </w:r>
          </w:p>
        </w:tc>
        <w:tc>
          <w:tcPr>
            <w:tcW w:w="3105" w:type="pct"/>
            <w:gridSpan w:val="2"/>
            <w:vAlign w:val="center"/>
          </w:tcPr>
          <w:p>
            <w:pPr>
              <w:tabs>
                <w:tab w:val="clear" w:pos="426"/>
              </w:tabs>
              <w:adjustRightInd/>
              <w:snapToGrid/>
              <w:spacing w:line="240" w:lineRule="auto"/>
            </w:pPr>
            <w:r>
              <w:rPr>
                <w:szCs w:val="21"/>
              </w:rPr>
              <w:t>谈判应答报价没有缺漏项目</w:t>
            </w:r>
            <w:r>
              <w:rPr>
                <w:rFonts w:hint="eastAsia"/>
                <w:szCs w:val="21"/>
              </w:rPr>
              <w:t>，</w:t>
            </w:r>
            <w:r>
              <w:rPr>
                <w:szCs w:val="21"/>
              </w:rPr>
              <w:t>或者对</w:t>
            </w:r>
            <w:r>
              <w:rPr>
                <w:rFonts w:hint="eastAsia"/>
                <w:szCs w:val="21"/>
              </w:rPr>
              <w:t>采购文件</w:t>
            </w:r>
            <w:r>
              <w:rPr>
                <w:szCs w:val="21"/>
              </w:rPr>
              <w:t>规定的项目需求内容或者需求数量没有进行修改，谈判小组判定谈判响应满足采购需求；</w:t>
            </w:r>
          </w:p>
        </w:tc>
        <w:tc>
          <w:tcPr>
            <w:tcW w:w="1443" w:type="pct"/>
            <w:gridSpan w:val="2"/>
            <w:vAlign w:val="center"/>
          </w:tcPr>
          <w:p>
            <w:pPr>
              <w:tabs>
                <w:tab w:val="clear" w:pos="426"/>
              </w:tabs>
              <w:adjustRightInd/>
              <w:snapToGrid/>
              <w:spacing w:line="240" w:lineRule="auto"/>
              <w:jc w:val="cente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2" w:type="pct"/>
            <w:vAlign w:val="center"/>
          </w:tcPr>
          <w:p>
            <w:pPr>
              <w:widowControl w:val="0"/>
              <w:shd w:val="clear" w:color="auto" w:fill="auto"/>
              <w:tabs>
                <w:tab w:val="clear" w:pos="426"/>
              </w:tabs>
              <w:adjustRightInd/>
              <w:snapToGrid/>
              <w:spacing w:line="240" w:lineRule="auto"/>
              <w:jc w:val="center"/>
            </w:pPr>
            <w:r>
              <w:rPr>
                <w:rFonts w:hint="eastAsia"/>
              </w:rPr>
              <w:t>10</w:t>
            </w:r>
          </w:p>
        </w:tc>
        <w:tc>
          <w:tcPr>
            <w:tcW w:w="3105" w:type="pct"/>
            <w:gridSpan w:val="2"/>
            <w:vAlign w:val="center"/>
          </w:tcPr>
          <w:p>
            <w:pPr>
              <w:tabs>
                <w:tab w:val="clear" w:pos="426"/>
              </w:tabs>
              <w:adjustRightInd/>
              <w:snapToGrid/>
              <w:spacing w:line="240" w:lineRule="auto"/>
            </w:pPr>
            <w:r>
              <w:rPr>
                <w:rFonts w:hint="eastAsia"/>
              </w:rPr>
              <w:t>不属于法律、法规规定的谈判应答无效的其他情形。</w:t>
            </w:r>
          </w:p>
        </w:tc>
        <w:tc>
          <w:tcPr>
            <w:tcW w:w="1443" w:type="pct"/>
            <w:gridSpan w:val="2"/>
            <w:vAlign w:val="center"/>
          </w:tcPr>
          <w:p>
            <w:pPr>
              <w:tabs>
                <w:tab w:val="clear" w:pos="426"/>
              </w:tabs>
              <w:adjustRightInd/>
              <w:snapToGrid/>
              <w:spacing w:line="240" w:lineRule="auto"/>
              <w:jc w:val="center"/>
            </w:pPr>
            <w:r>
              <w:rPr>
                <w:rFonts w:hint="eastAsia"/>
              </w:rPr>
              <w:t>符合/不符合</w:t>
            </w:r>
          </w:p>
        </w:tc>
      </w:tr>
    </w:tbl>
    <w:p>
      <w:pPr>
        <w:tabs>
          <w:tab w:val="clear" w:pos="426"/>
        </w:tabs>
      </w:pPr>
      <w:r>
        <w:rPr>
          <w:rFonts w:hint="eastAsia"/>
          <w:szCs w:val="21"/>
        </w:rPr>
        <w:t>备注：</w:t>
      </w:r>
      <w:r>
        <w:rPr>
          <w:rFonts w:hint="eastAsia"/>
        </w:rPr>
        <w:t>因项目次序混乱而影响谈判效率及谈判结果者，谈判应答人自负其责。</w:t>
      </w:r>
    </w:p>
    <w:p>
      <w:pPr>
        <w:numPr>
          <w:ilvl w:val="0"/>
          <w:numId w:val="20"/>
        </w:numPr>
        <w:tabs>
          <w:tab w:val="clear" w:pos="426"/>
        </w:tabs>
        <w:adjustRightInd/>
        <w:snapToGrid/>
        <w:spacing w:before="280" w:after="290" w:line="377" w:lineRule="auto"/>
        <w:ind w:left="988" w:hanging="704"/>
        <w:jc w:val="left"/>
        <w:outlineLvl w:val="2"/>
        <w:rPr>
          <w:b/>
          <w:sz w:val="24"/>
        </w:rPr>
      </w:pPr>
      <w:r>
        <w:rPr>
          <w:rFonts w:ascii="黑体" w:eastAsia="黑体"/>
          <w:bCs/>
          <w:sz w:val="28"/>
        </w:rPr>
        <w:br w:type="page"/>
      </w:r>
      <w:r>
        <w:rPr>
          <w:rFonts w:hint="eastAsia"/>
          <w:b/>
          <w:sz w:val="24"/>
        </w:rPr>
        <w:t>谈判应答函</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40" w:name="_Toc201742865"/>
      <w:bookmarkStart w:id="41" w:name="_Toc201719122"/>
      <w:bookmarkStart w:id="42" w:name="_Toc201743120"/>
      <w:bookmarkStart w:id="43" w:name="_Toc201997950"/>
      <w:r>
        <w:rPr>
          <w:rFonts w:hint="eastAsia" w:cs="Times New Roman"/>
          <w:bCs/>
          <w:kern w:val="2"/>
          <w:sz w:val="32"/>
          <w:szCs w:val="32"/>
        </w:rPr>
        <w:t>谈判应答函</w:t>
      </w:r>
      <w:bookmarkEnd w:id="40"/>
      <w:bookmarkEnd w:id="41"/>
      <w:bookmarkEnd w:id="42"/>
      <w:bookmarkEnd w:id="43"/>
    </w:p>
    <w:p>
      <w:pPr>
        <w:tabs>
          <w:tab w:val="clear" w:pos="426"/>
        </w:tabs>
        <w:spacing w:line="300" w:lineRule="auto"/>
        <w:rPr>
          <w:szCs w:val="21"/>
        </w:rPr>
      </w:pPr>
    </w:p>
    <w:p>
      <w:pPr>
        <w:tabs>
          <w:tab w:val="clear" w:pos="426"/>
        </w:tabs>
        <w:spacing w:line="300" w:lineRule="auto"/>
        <w:rPr>
          <w:szCs w:val="21"/>
        </w:rPr>
      </w:pPr>
      <w:r>
        <w:rPr>
          <w:rFonts w:hint="eastAsia"/>
          <w:szCs w:val="21"/>
        </w:rPr>
        <w:t>致：</w:t>
      </w:r>
      <w:r>
        <w:rPr>
          <w:rFonts w:hint="eastAsia"/>
          <w:szCs w:val="21"/>
          <w:u w:val="single"/>
        </w:rPr>
        <w:t>_______（采购人名称)__________</w:t>
      </w:r>
    </w:p>
    <w:p>
      <w:pPr>
        <w:tabs>
          <w:tab w:val="clear" w:pos="426"/>
        </w:tabs>
        <w:spacing w:after="120" w:afterLines="50"/>
        <w:ind w:firstLine="420" w:firstLineChars="200"/>
        <w:rPr>
          <w:szCs w:val="21"/>
        </w:rPr>
      </w:pPr>
      <w:r>
        <w:rPr>
          <w:rFonts w:hint="eastAsia"/>
          <w:szCs w:val="21"/>
        </w:rPr>
        <w:t>1.根据已收到贵方的采购项目编号为</w:t>
      </w:r>
      <w:r>
        <w:rPr>
          <w:rFonts w:hint="eastAsia"/>
          <w:szCs w:val="21"/>
          <w:u w:val="single"/>
        </w:rPr>
        <w:t xml:space="preserve"> </w:t>
      </w:r>
      <w:r>
        <w:rPr>
          <w:szCs w:val="21"/>
          <w:u w:val="single"/>
        </w:rPr>
        <w:t>XRZB202204001</w:t>
      </w:r>
      <w:r>
        <w:rPr>
          <w:rFonts w:hint="eastAsia"/>
          <w:szCs w:val="21"/>
          <w:u w:val="single"/>
        </w:rPr>
        <w:t xml:space="preserve"> </w:t>
      </w:r>
      <w:r>
        <w:rPr>
          <w:rFonts w:hint="eastAsia"/>
          <w:szCs w:val="21"/>
        </w:rPr>
        <w:t>的</w:t>
      </w:r>
      <w:r>
        <w:rPr>
          <w:rFonts w:hint="eastAsia" w:ascii="Times New Roman" w:hAnsi="Times New Roman" w:cs="Times New Roman"/>
          <w:kern w:val="2"/>
          <w:szCs w:val="20"/>
          <w:u w:val="single"/>
        </w:rPr>
        <w:t>第一届民谣音乐节暨水木年华系列演出活动</w:t>
      </w:r>
      <w:r>
        <w:rPr>
          <w:rFonts w:hint="eastAsia"/>
          <w:szCs w:val="21"/>
        </w:rPr>
        <w:t>项目的采购文件，我单位经研究上述采购文件的专用条款及通用条款后，我方愿以谈判应答书《谈判初始报价一览表》中填写的谈判应答报价并按采购文件要求承包上述项目并修补其任何缺陷。</w:t>
      </w:r>
    </w:p>
    <w:p>
      <w:pPr>
        <w:tabs>
          <w:tab w:val="clear" w:pos="426"/>
        </w:tabs>
        <w:spacing w:after="120" w:afterLines="50"/>
        <w:ind w:firstLine="420" w:firstLineChars="200"/>
        <w:rPr>
          <w:szCs w:val="21"/>
        </w:rPr>
      </w:pPr>
      <w:r>
        <w:rPr>
          <w:szCs w:val="21"/>
        </w:rPr>
        <w:t>2</w:t>
      </w:r>
      <w:r>
        <w:rPr>
          <w:rFonts w:hint="eastAsia"/>
          <w:szCs w:val="21"/>
        </w:rPr>
        <w:t>.我方已认真核实了谈判应答文件的全部资料，所有资料均为真实资料。我方对谈判应答文件中全部谈判应答资料的真实性负责，如被证实我方的谈判应答文件中存在虚假资料的，则视为我方隐瞒真实情况、提供虚假资料，我方愿意接受主管部门作出的行政处罚。</w:t>
      </w:r>
    </w:p>
    <w:p>
      <w:pPr>
        <w:tabs>
          <w:tab w:val="clear" w:pos="426"/>
        </w:tabs>
        <w:spacing w:after="120" w:afterLines="50"/>
        <w:ind w:firstLine="411" w:firstLineChars="196"/>
        <w:rPr>
          <w:szCs w:val="21"/>
        </w:rPr>
      </w:pPr>
      <w:r>
        <w:rPr>
          <w:rFonts w:hint="eastAsia"/>
          <w:szCs w:val="21"/>
        </w:rPr>
        <w:t>3.我方同意所递交的谈判应答文件在“对通用条款的补充内容”中的谈判应答有效期内有效，在此期间内我方的谈判应答有可能成交，我方将受此约束。如果在谈判应答有效期内撤回其谈判应答，其谈判应答保证金将全部被没收。</w:t>
      </w:r>
    </w:p>
    <w:p>
      <w:pPr>
        <w:tabs>
          <w:tab w:val="clear" w:pos="426"/>
        </w:tabs>
        <w:spacing w:after="120" w:afterLines="50"/>
        <w:ind w:firstLine="411" w:firstLineChars="196"/>
        <w:rPr>
          <w:szCs w:val="21"/>
        </w:rPr>
      </w:pPr>
      <w:r>
        <w:rPr>
          <w:rFonts w:hint="eastAsia"/>
          <w:szCs w:val="21"/>
        </w:rPr>
        <w:t>4.除非另外达成协议并生效，贵方的成交通知书和本谈判应答文件将构成约束我们双方的合同。</w:t>
      </w:r>
    </w:p>
    <w:p>
      <w:pPr>
        <w:tabs>
          <w:tab w:val="clear" w:pos="426"/>
        </w:tabs>
        <w:spacing w:after="120" w:afterLines="50"/>
        <w:ind w:firstLine="411" w:firstLineChars="196"/>
        <w:rPr>
          <w:szCs w:val="21"/>
        </w:rPr>
      </w:pPr>
      <w:r>
        <w:rPr>
          <w:rFonts w:hint="eastAsia"/>
          <w:szCs w:val="21"/>
        </w:rPr>
        <w:t>5</w:t>
      </w:r>
      <w:r>
        <w:rPr>
          <w:szCs w:val="21"/>
        </w:rPr>
        <w:t>.</w:t>
      </w:r>
      <w:r>
        <w:rPr>
          <w:rFonts w:hint="eastAsia"/>
          <w:szCs w:val="21"/>
        </w:rPr>
        <w:t>我方理解贵方将不受必须接受你们所收到的最低标价或其它任何谈判应答文件的约束。</w:t>
      </w:r>
    </w:p>
    <w:p>
      <w:pPr>
        <w:tabs>
          <w:tab w:val="clear" w:pos="426"/>
        </w:tabs>
        <w:spacing w:line="300" w:lineRule="auto"/>
        <w:ind w:left="424" w:leftChars="202"/>
        <w:rPr>
          <w:szCs w:val="21"/>
        </w:rPr>
      </w:pPr>
    </w:p>
    <w:p>
      <w:pPr>
        <w:tabs>
          <w:tab w:val="clear" w:pos="426"/>
        </w:tabs>
        <w:spacing w:line="300" w:lineRule="auto"/>
        <w:ind w:left="424" w:leftChars="202"/>
        <w:rPr>
          <w:szCs w:val="21"/>
        </w:rPr>
      </w:pPr>
    </w:p>
    <w:p>
      <w:pPr>
        <w:tabs>
          <w:tab w:val="clear" w:pos="426"/>
        </w:tabs>
        <w:spacing w:line="300" w:lineRule="auto"/>
        <w:ind w:left="424" w:leftChars="202"/>
        <w:rPr>
          <w:szCs w:val="21"/>
        </w:rPr>
      </w:pPr>
    </w:p>
    <w:p>
      <w:pPr>
        <w:tabs>
          <w:tab w:val="clear" w:pos="426"/>
        </w:tabs>
        <w:spacing w:line="300" w:lineRule="auto"/>
        <w:ind w:left="424" w:leftChars="202"/>
        <w:rPr>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szCs w:val="21"/>
          <w:u w:val="single"/>
        </w:rPr>
      </w:pPr>
      <w:r>
        <w:rPr>
          <w:rFonts w:hint="eastAsia"/>
          <w:szCs w:val="21"/>
        </w:rPr>
        <w:t>谈判应答人名称（公章）：</w:t>
      </w:r>
      <w:r>
        <w:rPr>
          <w:rFonts w:hint="eastAsia"/>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 xml:space="preserve">谈判应答人代表（签字)： </w:t>
      </w:r>
      <w:r>
        <w:rPr>
          <w:rFonts w:hint="eastAsia"/>
          <w:szCs w:val="21"/>
          <w:u w:val="single"/>
        </w:rPr>
        <w:t>_____________________________________________</w:t>
      </w:r>
    </w:p>
    <w:p>
      <w:pPr>
        <w:tabs>
          <w:tab w:val="clear" w:pos="426"/>
        </w:tabs>
        <w:spacing w:line="300" w:lineRule="auto"/>
        <w:ind w:left="424" w:leftChars="202"/>
        <w:rPr>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pPr>
    </w:p>
    <w:p>
      <w:pPr>
        <w:tabs>
          <w:tab w:val="clear" w:pos="426"/>
        </w:tabs>
        <w:spacing w:line="300" w:lineRule="auto"/>
      </w:pPr>
    </w:p>
    <w:p>
      <w:pPr>
        <w:tabs>
          <w:tab w:val="clear" w:pos="426"/>
        </w:tabs>
        <w:rPr>
          <w:u w:val="single"/>
        </w:rPr>
      </w:pPr>
    </w:p>
    <w:p>
      <w:pPr>
        <w:tabs>
          <w:tab w:val="clear" w:pos="426"/>
        </w:tabs>
        <w:spacing w:line="300" w:lineRule="auto"/>
      </w:pPr>
    </w:p>
    <w:p>
      <w:pPr>
        <w:tabs>
          <w:tab w:val="clear" w:pos="426"/>
        </w:tabs>
        <w:spacing w:line="300" w:lineRule="auto"/>
      </w:pPr>
    </w:p>
    <w:p>
      <w:pPr>
        <w:numPr>
          <w:ilvl w:val="0"/>
          <w:numId w:val="20"/>
        </w:numPr>
        <w:tabs>
          <w:tab w:val="clear" w:pos="426"/>
        </w:tabs>
        <w:adjustRightInd/>
        <w:snapToGrid/>
        <w:spacing w:before="280" w:after="290" w:line="377" w:lineRule="auto"/>
        <w:ind w:left="988" w:hanging="704"/>
        <w:jc w:val="left"/>
        <w:outlineLvl w:val="2"/>
        <w:rPr>
          <w:b/>
          <w:sz w:val="24"/>
        </w:rPr>
      </w:pPr>
      <w:r>
        <w:rPr>
          <w:b/>
        </w:rPr>
        <w:br w:type="page"/>
      </w:r>
      <w:r>
        <w:rPr>
          <w:rFonts w:hint="eastAsia"/>
          <w:b/>
          <w:sz w:val="24"/>
        </w:rPr>
        <w:t>政府采购谈判应答及履约承诺函</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政府采购谈判应答及履约承诺函</w:t>
      </w:r>
    </w:p>
    <w:p>
      <w:pPr>
        <w:tabs>
          <w:tab w:val="clear" w:pos="426"/>
        </w:tabs>
      </w:pPr>
    </w:p>
    <w:p>
      <w:pPr>
        <w:tabs>
          <w:tab w:val="clear" w:pos="426"/>
        </w:tabs>
      </w:pPr>
      <w:r>
        <w:rPr>
          <w:rFonts w:hint="eastAsia"/>
        </w:rPr>
        <w:t>深圳市鑫润招标代理有限公司：</w:t>
      </w:r>
    </w:p>
    <w:p>
      <w:pPr>
        <w:tabs>
          <w:tab w:val="clear" w:pos="426"/>
        </w:tabs>
        <w:spacing w:before="120" w:beforeLines="50" w:line="240" w:lineRule="auto"/>
        <w:ind w:firstLine="424" w:firstLineChars="202"/>
      </w:pPr>
      <w:r>
        <w:rPr>
          <w:rFonts w:hint="eastAsia"/>
        </w:rPr>
        <w:t>关于贵公司</w:t>
      </w:r>
      <w:r>
        <w:rPr>
          <w:rFonts w:hint="eastAsia"/>
          <w:u w:val="single"/>
        </w:rPr>
        <w:t>______</w:t>
      </w:r>
      <w:r>
        <w:rPr>
          <w:rFonts w:hint="eastAsia"/>
        </w:rPr>
        <w:t>年</w:t>
      </w:r>
      <w:r>
        <w:rPr>
          <w:rFonts w:hint="eastAsia"/>
          <w:u w:val="single"/>
        </w:rPr>
        <w:t>____</w:t>
      </w:r>
      <w:r>
        <w:rPr>
          <w:rFonts w:hint="eastAsia"/>
        </w:rPr>
        <w:t>月</w:t>
      </w:r>
      <w:r>
        <w:rPr>
          <w:rFonts w:hint="eastAsia"/>
          <w:u w:val="single"/>
        </w:rPr>
        <w:t>____</w:t>
      </w:r>
      <w:r>
        <w:rPr>
          <w:rFonts w:hint="eastAsia"/>
        </w:rPr>
        <w:t>日发布</w:t>
      </w:r>
      <w:r>
        <w:rPr>
          <w:u w:val="single"/>
        </w:rPr>
        <w:t>__</w:t>
      </w:r>
      <w:r>
        <w:rPr>
          <w:rFonts w:hint="eastAsia"/>
          <w:szCs w:val="21"/>
          <w:u w:val="single"/>
        </w:rPr>
        <w:t>（项目名称)_</w:t>
      </w:r>
      <w:r>
        <w:rPr>
          <w:u w:val="single"/>
        </w:rPr>
        <w:t>_</w:t>
      </w:r>
      <w:r>
        <w:rPr>
          <w:rFonts w:hint="eastAsia"/>
        </w:rPr>
        <w:t>项目（采购项目编号：</w:t>
      </w:r>
      <w:r>
        <w:rPr>
          <w:rFonts w:hint="eastAsia"/>
          <w:u w:val="single"/>
        </w:rPr>
        <w:t>__（采购项目编号）__</w:t>
      </w:r>
      <w:r>
        <w:rPr>
          <w:rFonts w:hint="eastAsia"/>
        </w:rPr>
        <w:t>）的采购公告，本公司（企业）愿意参加谈判应答，并声明：</w:t>
      </w:r>
    </w:p>
    <w:p>
      <w:pPr>
        <w:tabs>
          <w:tab w:val="clear" w:pos="426"/>
        </w:tabs>
        <w:spacing w:line="240" w:lineRule="auto"/>
        <w:ind w:firstLine="424" w:firstLineChars="202"/>
      </w:pPr>
      <w:r>
        <w:t>1.我公司本谈判项目所提供的货物或服务未侵犯知识产权。</w:t>
      </w:r>
    </w:p>
    <w:p>
      <w:pPr>
        <w:tabs>
          <w:tab w:val="clear" w:pos="426"/>
        </w:tabs>
        <w:spacing w:line="240" w:lineRule="auto"/>
        <w:ind w:firstLine="426" w:firstLineChars="202"/>
        <w:rPr>
          <w:b/>
        </w:rPr>
      </w:pPr>
      <w:r>
        <w:rPr>
          <w:b/>
        </w:rPr>
        <w:t>2.我公司参与本项目谈判应答前三年内，在经营活动中没有重大违法记录。</w:t>
      </w:r>
    </w:p>
    <w:p>
      <w:pPr>
        <w:tabs>
          <w:tab w:val="clear" w:pos="426"/>
        </w:tabs>
        <w:spacing w:line="240" w:lineRule="auto"/>
        <w:ind w:firstLine="426" w:firstLineChars="202"/>
        <w:rPr>
          <w:b/>
        </w:rPr>
      </w:pPr>
      <w:r>
        <w:rPr>
          <w:b/>
        </w:rPr>
        <w:t>3.我公司参与本项目政府采购活动时不存在被有关部门禁止参与政府采购活动且在有效期内的情况。</w:t>
      </w:r>
    </w:p>
    <w:p>
      <w:pPr>
        <w:tabs>
          <w:tab w:val="clear" w:pos="426"/>
        </w:tabs>
        <w:spacing w:line="240" w:lineRule="auto"/>
        <w:ind w:firstLine="426" w:firstLineChars="202"/>
        <w:rPr>
          <w:b/>
        </w:rPr>
      </w:pPr>
      <w:r>
        <w:rPr>
          <w:b/>
        </w:rPr>
        <w:t>4.我公司具备《中华人民共和国政府采购法》第二十二条规定的资质。</w:t>
      </w:r>
    </w:p>
    <w:p>
      <w:pPr>
        <w:tabs>
          <w:tab w:val="clear" w:pos="426"/>
        </w:tabs>
        <w:spacing w:line="240" w:lineRule="auto"/>
        <w:ind w:firstLine="426" w:firstLineChars="202"/>
        <w:rPr>
          <w:b/>
        </w:rPr>
      </w:pPr>
      <w:r>
        <w:rPr>
          <w:b/>
        </w:rPr>
        <w:t>5.我公司未被列入失信被执行人、重大税收违法案件当事人名单、政府采购严重违法失信行为记录名单</w:t>
      </w:r>
    </w:p>
    <w:p>
      <w:pPr>
        <w:tabs>
          <w:tab w:val="clear" w:pos="426"/>
        </w:tabs>
        <w:spacing w:line="240" w:lineRule="auto"/>
        <w:ind w:firstLine="424" w:firstLineChars="202"/>
      </w:pPr>
      <w:r>
        <w:t>6.我公司参与该项目谈判应答，严格遵守政府采购相关法律，谈判应答做到诚实，不造假，不围标、串标、陪标。我公司已清楚，如违反上述要求，其谈判应答将作废，被没收谈判应答保证金，被列入不良记录名单并在网上曝光，同时将被提请政府采购监督管理部门给予一定年限内禁止参与政府采购活动或其他处罚。</w:t>
      </w:r>
    </w:p>
    <w:p>
      <w:pPr>
        <w:tabs>
          <w:tab w:val="clear" w:pos="426"/>
        </w:tabs>
        <w:spacing w:line="240" w:lineRule="auto"/>
        <w:ind w:firstLine="424" w:firstLineChars="202"/>
      </w:pPr>
      <w:r>
        <w:t>7.我公司如果成交，做到守信，不偷工减料，依照本项目采购文件需求内容、签署的采购合同及本公司在谈判应答中所作的一切承诺履约。项目验收达到全部指标合格，力争优良。</w:t>
      </w:r>
    </w:p>
    <w:p>
      <w:pPr>
        <w:tabs>
          <w:tab w:val="clear" w:pos="426"/>
        </w:tabs>
        <w:spacing w:line="240" w:lineRule="auto"/>
        <w:ind w:firstLine="424" w:firstLineChars="202"/>
      </w:pPr>
      <w:r>
        <w:t>8.我公司承诺本项目的报价不低于我公司的成本价，否则，我公司清楚将面临谈判应答无效的风险；我公司承诺不恶意低价谋取成交；我公司对本项目的报价负责，成交后将严格按照本项目采购文件需求、签署的采购合同及我公司在谈判应答中所作的全部承诺履行。我公司清楚，若我公司以“报价太低而无法履约”为理由放弃本项目成交资格时，谈判应答保证金将不被退还，且愿意接受主管部门的处理处罚。若我公司成交本项目，我公司的报价明显低于其他谈判应答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pPr>
        <w:tabs>
          <w:tab w:val="clear" w:pos="426"/>
        </w:tabs>
        <w:spacing w:line="240" w:lineRule="auto"/>
        <w:ind w:firstLine="424" w:firstLineChars="202"/>
      </w:pPr>
      <w:r>
        <w:rPr>
          <w:rFonts w:hint="eastAsia"/>
        </w:rPr>
        <w:t>9.我公司已认真阅读本项目需求，特别是完工期和服务期的要求，我司承诺完全满足本项目的完工期和服务期要求。</w:t>
      </w:r>
    </w:p>
    <w:p>
      <w:pPr>
        <w:tabs>
          <w:tab w:val="clear" w:pos="426"/>
        </w:tabs>
        <w:spacing w:line="240" w:lineRule="auto"/>
        <w:ind w:firstLine="424" w:firstLineChars="202"/>
      </w:pPr>
      <w:r>
        <w:rPr>
          <w:rFonts w:hint="eastAsia"/>
        </w:rPr>
        <w:t>10</w:t>
      </w:r>
      <w:r>
        <w:t>.我公司已认真核实了谈判应答文件的全部内容，所有资料均为真实资料。我公司对谈判应答文件中全部谈判应答资料的真实性负责，如被证实我公司的谈判应答文件中存在虚假资料的，则视为我公司隐瞒真实情况、提供虚假资料，我公司愿意接受主管部门作出的行政处罚。</w:t>
      </w:r>
    </w:p>
    <w:p>
      <w:pPr>
        <w:tabs>
          <w:tab w:val="clear" w:pos="426"/>
        </w:tabs>
        <w:spacing w:line="240" w:lineRule="auto"/>
        <w:ind w:firstLine="424" w:firstLineChars="202"/>
      </w:pPr>
      <w:r>
        <w:t>1</w:t>
      </w:r>
      <w:r>
        <w:rPr>
          <w:rFonts w:hint="eastAsia"/>
        </w:rPr>
        <w:t>1</w:t>
      </w:r>
      <w:r>
        <w:t>.我公司承诺不非法转包</w:t>
      </w:r>
      <w:r>
        <w:rPr>
          <w:rFonts w:hint="eastAsia"/>
        </w:rPr>
        <w:t>或</w:t>
      </w:r>
      <w:r>
        <w:t>分包。</w:t>
      </w:r>
    </w:p>
    <w:p>
      <w:pPr>
        <w:tabs>
          <w:tab w:val="clear" w:pos="426"/>
        </w:tabs>
        <w:spacing w:line="240" w:lineRule="auto"/>
        <w:ind w:firstLine="424" w:firstLineChars="202"/>
      </w:pPr>
      <w:r>
        <w:rPr>
          <w:rFonts w:hint="eastAsia"/>
        </w:rPr>
        <w:t>以上承诺，如有违反，愿依照国家相关法律处理，并承担由此给采购人带来的损失。</w:t>
      </w:r>
    </w:p>
    <w:p>
      <w:pPr>
        <w:tabs>
          <w:tab w:val="clear" w:pos="426"/>
        </w:tabs>
        <w:spacing w:line="240" w:lineRule="auto"/>
        <w:ind w:firstLine="420"/>
      </w:pPr>
      <w:r>
        <w:rPr>
          <w:rFonts w:hint="eastAsia"/>
        </w:rPr>
        <w:t>特此声明！</w:t>
      </w:r>
    </w:p>
    <w:p>
      <w:pPr>
        <w:tabs>
          <w:tab w:val="clear" w:pos="426"/>
        </w:tabs>
        <w:spacing w:line="240" w:lineRule="auto"/>
        <w:ind w:firstLine="420"/>
      </w:pPr>
    </w:p>
    <w:p>
      <w:pPr>
        <w:tabs>
          <w:tab w:val="clear" w:pos="426"/>
        </w:tabs>
        <w:ind w:firstLine="420"/>
      </w:pPr>
    </w:p>
    <w:p>
      <w:pPr>
        <w:tabs>
          <w:tab w:val="clear" w:pos="426"/>
        </w:tabs>
        <w:ind w:firstLine="420"/>
        <w:rPr>
          <w:u w:val="single"/>
        </w:rPr>
      </w:pPr>
      <w:r>
        <w:rPr>
          <w:rFonts w:hint="eastAsia"/>
        </w:rPr>
        <w:t>单位名称：</w:t>
      </w:r>
      <w:r>
        <w:rPr>
          <w:rFonts w:hint="eastAsia"/>
          <w:u w:val="single"/>
        </w:rPr>
        <w:t>_____________________________________________________________</w:t>
      </w:r>
    </w:p>
    <w:p>
      <w:pPr>
        <w:tabs>
          <w:tab w:val="clear" w:pos="426"/>
        </w:tabs>
        <w:ind w:firstLine="420"/>
        <w:rPr>
          <w:u w:val="single"/>
        </w:rPr>
      </w:pPr>
      <w:r>
        <w:rPr>
          <w:rFonts w:hint="eastAsia"/>
        </w:rPr>
        <w:t>法定代表人或谈判应答人授权代表（签名或盖章）：</w:t>
      </w:r>
      <w:r>
        <w:rPr>
          <w:rFonts w:hint="eastAsia"/>
          <w:u w:val="single"/>
        </w:rPr>
        <w:t>_____________________________</w:t>
      </w:r>
    </w:p>
    <w:p>
      <w:pPr>
        <w:tabs>
          <w:tab w:val="clear" w:pos="426"/>
        </w:tabs>
        <w:ind w:firstLine="420"/>
        <w:rPr>
          <w:u w:val="single"/>
        </w:rPr>
      </w:pPr>
      <w:r>
        <w:rPr>
          <w:rFonts w:hint="eastAsia"/>
        </w:rPr>
        <w:t>单位地址：</w:t>
      </w:r>
      <w:r>
        <w:rPr>
          <w:rFonts w:hint="eastAsia"/>
          <w:u w:val="single"/>
        </w:rPr>
        <w:t>_____________________________________________________________</w:t>
      </w:r>
    </w:p>
    <w:p>
      <w:pPr>
        <w:tabs>
          <w:tab w:val="clear" w:pos="426"/>
        </w:tabs>
        <w:ind w:firstLine="420"/>
        <w:rPr>
          <w:u w:val="single"/>
        </w:rPr>
      </w:pPr>
      <w:r>
        <w:rPr>
          <w:rFonts w:hint="eastAsia"/>
        </w:rPr>
        <w:t>单位公章：</w:t>
      </w:r>
      <w:r>
        <w:rPr>
          <w:rFonts w:hint="eastAsia"/>
          <w:u w:val="single"/>
        </w:rPr>
        <w:t>_____________________________________________________________</w:t>
      </w:r>
    </w:p>
    <w:p>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u w:val="single"/>
        </w:rPr>
      </w:pPr>
      <w:r>
        <w:rPr>
          <w:rFonts w:hint="eastAsia"/>
        </w:rPr>
        <w:t>联系电话：</w:t>
      </w:r>
      <w:r>
        <w:rPr>
          <w:rFonts w:hint="eastAsia"/>
          <w:u w:val="single"/>
        </w:rPr>
        <w:t>_____________________________________________________________</w:t>
      </w:r>
    </w:p>
    <w:p>
      <w:pPr>
        <w:tabs>
          <w:tab w:val="clear" w:pos="426"/>
        </w:tabs>
        <w:rPr>
          <w:u w:val="single"/>
        </w:rPr>
      </w:pPr>
    </w:p>
    <w:p>
      <w:pPr>
        <w:numPr>
          <w:ilvl w:val="0"/>
          <w:numId w:val="20"/>
        </w:numPr>
        <w:tabs>
          <w:tab w:val="clear" w:pos="426"/>
        </w:tabs>
        <w:adjustRightInd/>
        <w:snapToGrid/>
        <w:spacing w:before="280" w:after="290" w:line="377" w:lineRule="auto"/>
        <w:ind w:left="988" w:hanging="704"/>
        <w:jc w:val="left"/>
        <w:outlineLvl w:val="2"/>
        <w:rPr>
          <w:b/>
          <w:sz w:val="24"/>
        </w:rPr>
      </w:pPr>
      <w:r>
        <w:rPr>
          <w:b/>
        </w:rPr>
        <w:br w:type="page"/>
      </w:r>
      <w:bookmarkStart w:id="44" w:name="_Toc50737297"/>
      <w:bookmarkStart w:id="45" w:name="_Toc480754205"/>
      <w:bookmarkStart w:id="46" w:name="_Toc275865607"/>
      <w:bookmarkStart w:id="47" w:name="_Toc50736477"/>
      <w:bookmarkStart w:id="48" w:name="_Toc52165081"/>
      <w:bookmarkStart w:id="49" w:name="_Toc50737329"/>
      <w:bookmarkStart w:id="50" w:name="_Toc50736476"/>
      <w:bookmarkStart w:id="51" w:name="_Toc50737328"/>
      <w:bookmarkStart w:id="52" w:name="_Toc52165080"/>
      <w:bookmarkStart w:id="53" w:name="_Toc50691034"/>
      <w:bookmarkStart w:id="54" w:name="_Toc50737296"/>
      <w:r>
        <w:rPr>
          <w:rFonts w:hint="eastAsia"/>
          <w:b/>
          <w:sz w:val="24"/>
        </w:rPr>
        <w:t>法定代表人授权委托书、法定代表人证明书</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法定代表人授权委托书</w:t>
      </w:r>
      <w:bookmarkEnd w:id="44"/>
      <w:bookmarkEnd w:id="45"/>
      <w:bookmarkEnd w:id="46"/>
      <w:bookmarkEnd w:id="47"/>
      <w:bookmarkEnd w:id="48"/>
      <w:bookmarkEnd w:id="49"/>
    </w:p>
    <w:p>
      <w:pPr>
        <w:pStyle w:val="24"/>
        <w:tabs>
          <w:tab w:val="clear" w:pos="426"/>
        </w:tabs>
        <w:ind w:firstLine="420" w:firstLineChars="200"/>
      </w:pPr>
    </w:p>
    <w:p>
      <w:pPr>
        <w:pStyle w:val="24"/>
        <w:tabs>
          <w:tab w:val="clear" w:pos="426"/>
        </w:tabs>
        <w:ind w:firstLine="420" w:firstLineChars="200"/>
      </w:pPr>
      <w:r>
        <w:rPr>
          <w:rFonts w:hint="eastAsia"/>
        </w:rPr>
        <w:t>本授权委托书声明：注册于</w:t>
      </w:r>
      <w:r>
        <w:rPr>
          <w:rFonts w:hint="eastAsia"/>
          <w:u w:val="single"/>
        </w:rPr>
        <w:t>_（谈判应答人地址）__</w:t>
      </w:r>
      <w:r>
        <w:rPr>
          <w:rFonts w:hint="eastAsia"/>
        </w:rPr>
        <w:t>的</w:t>
      </w:r>
      <w:r>
        <w:rPr>
          <w:rFonts w:hint="eastAsia"/>
          <w:u w:val="single"/>
        </w:rPr>
        <w:t>__（谈判应答人名称）____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（项目名称、采购项目编号</w:t>
      </w:r>
      <w:r>
        <w:rPr>
          <w:rFonts w:hint="eastAsia"/>
        </w:rPr>
        <w:t>）的招谈判应答活动，采购合同的签订、执行、完成和售后服务，作为谈判应答人代表以我方的名义处理一切与之有关的事务。</w:t>
      </w:r>
    </w:p>
    <w:p>
      <w:pPr>
        <w:pStyle w:val="24"/>
        <w:tabs>
          <w:tab w:val="clear" w:pos="426"/>
        </w:tabs>
        <w:ind w:firstLine="420" w:firstLineChars="200"/>
      </w:pPr>
      <w:r>
        <w:rPr>
          <w:rFonts w:hint="eastAsia"/>
        </w:rPr>
        <w:t>被授权人（谈判应答人授权代表）无转委托权限。</w:t>
      </w:r>
    </w:p>
    <w:p>
      <w:pPr>
        <w:tabs>
          <w:tab w:val="clear" w:pos="426"/>
        </w:tabs>
        <w:ind w:firstLine="420" w:firstLineChars="200"/>
        <w:rPr>
          <w:szCs w:val="21"/>
        </w:rPr>
      </w:pPr>
      <w:r>
        <w:rPr>
          <w:rFonts w:hint="eastAsia"/>
          <w:szCs w:val="21"/>
        </w:rPr>
        <w:t>本授权书自法定代表人签字之日起生效，特此声明。</w:t>
      </w:r>
    </w:p>
    <w:p>
      <w:pPr>
        <w:tabs>
          <w:tab w:val="clear" w:pos="426"/>
        </w:tabs>
        <w:ind w:firstLine="422" w:firstLineChars="200"/>
        <w:rPr>
          <w:b/>
          <w:szCs w:val="21"/>
        </w:rPr>
      </w:pPr>
      <w:r>
        <w:rPr>
          <w:rFonts w:hint="eastAsia"/>
          <w:b/>
          <w:szCs w:val="21"/>
        </w:rPr>
        <w:t>随附《法定代表人证明》</w:t>
      </w:r>
    </w:p>
    <w:p>
      <w:pPr>
        <w:tabs>
          <w:tab w:val="clear" w:pos="426"/>
        </w:tabs>
        <w:ind w:firstLine="422" w:firstLineChars="200"/>
        <w:rPr>
          <w:b/>
          <w:szCs w:val="21"/>
        </w:rPr>
      </w:pPr>
    </w:p>
    <w:p>
      <w:pPr>
        <w:tabs>
          <w:tab w:val="clear" w:pos="426"/>
        </w:tabs>
        <w:ind w:firstLine="422" w:firstLineChars="200"/>
        <w:rPr>
          <w:b/>
          <w:szCs w:val="21"/>
        </w:rPr>
      </w:pPr>
    </w:p>
    <w:p>
      <w:pPr>
        <w:tabs>
          <w:tab w:val="clear" w:pos="426"/>
        </w:tabs>
        <w:ind w:firstLine="420" w:firstLineChars="200"/>
        <w:rPr>
          <w:szCs w:val="21"/>
          <w:u w:val="single"/>
        </w:rPr>
      </w:pPr>
      <w:r>
        <w:rPr>
          <w:rFonts w:hint="eastAsia"/>
          <w:szCs w:val="21"/>
        </w:rPr>
        <w:t>单位名称：</w:t>
      </w:r>
      <w:r>
        <w:rPr>
          <w:rFonts w:hint="eastAsia"/>
          <w:szCs w:val="21"/>
          <w:u w:val="single"/>
        </w:rPr>
        <w:t>_____________________________________________________________</w:t>
      </w:r>
    </w:p>
    <w:p>
      <w:pPr>
        <w:tabs>
          <w:tab w:val="clear" w:pos="426"/>
        </w:tabs>
        <w:ind w:firstLine="420" w:firstLineChars="200"/>
        <w:rPr>
          <w:szCs w:val="21"/>
          <w:u w:val="single"/>
        </w:rPr>
      </w:pPr>
      <w:r>
        <w:rPr>
          <w:rFonts w:hint="eastAsia"/>
          <w:szCs w:val="21"/>
        </w:rPr>
        <w:t>法定代表人（签名或盖章）：</w:t>
      </w:r>
      <w:r>
        <w:rPr>
          <w:rFonts w:hint="eastAsia"/>
          <w:szCs w:val="21"/>
          <w:u w:val="single"/>
        </w:rPr>
        <w:t>_____________________________________________</w:t>
      </w:r>
    </w:p>
    <w:p>
      <w:pPr>
        <w:tabs>
          <w:tab w:val="clear" w:pos="426"/>
        </w:tabs>
        <w:ind w:firstLine="420" w:firstLineChars="200"/>
        <w:rPr>
          <w:szCs w:val="21"/>
          <w:u w:val="single"/>
        </w:rPr>
      </w:pPr>
      <w:r>
        <w:rPr>
          <w:rFonts w:hint="eastAsia"/>
          <w:szCs w:val="21"/>
        </w:rPr>
        <w:t>法定代表人或谈判应答人授权代表（签名或盖章）：</w:t>
      </w:r>
      <w:r>
        <w:rPr>
          <w:rFonts w:hint="eastAsia"/>
          <w:szCs w:val="21"/>
          <w:u w:val="single"/>
        </w:rPr>
        <w:t>_____________________________</w:t>
      </w:r>
    </w:p>
    <w:p>
      <w:pPr>
        <w:tabs>
          <w:tab w:val="clear" w:pos="426"/>
        </w:tabs>
        <w:ind w:firstLine="420" w:firstLineChars="200"/>
        <w:rPr>
          <w:szCs w:val="21"/>
          <w:u w:val="single"/>
        </w:rPr>
      </w:pPr>
      <w:r>
        <w:rPr>
          <w:rFonts w:hint="eastAsia"/>
          <w:szCs w:val="21"/>
        </w:rPr>
        <w:t>单位地址：</w:t>
      </w:r>
      <w:r>
        <w:rPr>
          <w:rFonts w:hint="eastAsia"/>
          <w:szCs w:val="21"/>
          <w:u w:val="single"/>
        </w:rPr>
        <w:t>_____________________________________________________________</w:t>
      </w:r>
    </w:p>
    <w:p>
      <w:pPr>
        <w:tabs>
          <w:tab w:val="clear" w:pos="426"/>
        </w:tabs>
        <w:ind w:firstLine="420" w:firstLineChars="200"/>
        <w:rPr>
          <w:szCs w:val="21"/>
          <w:u w:val="single"/>
        </w:rPr>
      </w:pPr>
      <w:r>
        <w:rPr>
          <w:rFonts w:hint="eastAsia"/>
          <w:szCs w:val="21"/>
        </w:rPr>
        <w:t>单位公章：</w:t>
      </w:r>
      <w:r>
        <w:rPr>
          <w:rFonts w:hint="eastAsia"/>
          <w:szCs w:val="21"/>
          <w:u w:val="single"/>
        </w:rPr>
        <w:t>_____________________________________________________________</w:t>
      </w:r>
    </w:p>
    <w:p>
      <w:pPr>
        <w:tabs>
          <w:tab w:val="clear" w:pos="426"/>
        </w:tabs>
        <w:ind w:firstLine="420" w:firstLineChars="20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pPr>
        <w:tabs>
          <w:tab w:val="clear" w:pos="426"/>
        </w:tabs>
        <w:ind w:firstLine="424" w:firstLineChars="202"/>
        <w:rPr>
          <w:szCs w:val="21"/>
        </w:rPr>
      </w:pPr>
      <w:r>
        <w:rPr>
          <w:rFonts w:hint="eastAsia"/>
          <w:szCs w:val="21"/>
        </w:rPr>
        <w:t>联系电话：</w:t>
      </w:r>
      <w:r>
        <w:rPr>
          <w:rFonts w:hint="eastAsia"/>
          <w:szCs w:val="21"/>
          <w:u w:val="single"/>
        </w:rPr>
        <w:t>_____________________________________________________________</w:t>
      </w:r>
    </w:p>
    <w:p>
      <w:pPr>
        <w:tabs>
          <w:tab w:val="clear" w:pos="426"/>
        </w:tabs>
        <w:ind w:firstLine="424" w:firstLineChars="202"/>
        <w:rPr>
          <w:szCs w:val="21"/>
        </w:rPr>
      </w:pPr>
    </w:p>
    <w:p>
      <w:pPr>
        <w:tabs>
          <w:tab w:val="clear" w:pos="426"/>
        </w:tabs>
        <w:ind w:firstLine="424" w:firstLineChars="202"/>
        <w:rPr>
          <w:szCs w:val="21"/>
        </w:rPr>
      </w:pPr>
      <w:r>
        <w:rPr>
          <w:rFonts w:hint="eastAsia"/>
          <w:szCs w:val="21"/>
        </w:rPr>
        <w:t>附：被授权人身份证复印件：</w:t>
      </w:r>
    </w:p>
    <w:p>
      <w:pPr>
        <w:tabs>
          <w:tab w:val="clear" w:pos="426"/>
        </w:tabs>
        <w:ind w:firstLine="424" w:firstLineChars="202"/>
        <w:rPr>
          <w:szCs w:val="21"/>
        </w:rPr>
      </w:pPr>
    </w:p>
    <w:bookmarkEnd w:id="50"/>
    <w:bookmarkEnd w:id="51"/>
    <w:bookmarkEnd w:id="52"/>
    <w:bookmarkEnd w:id="53"/>
    <w:bookmarkEnd w:id="54"/>
    <w:p>
      <w:pPr>
        <w:tabs>
          <w:tab w:val="clear" w:pos="426"/>
        </w:tabs>
        <w:spacing w:line="300" w:lineRule="auto"/>
        <w:jc w:val="center"/>
      </w:pPr>
      <w: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法定代表人证明书</w:t>
      </w:r>
    </w:p>
    <w:p>
      <w:pPr>
        <w:tabs>
          <w:tab w:val="clear" w:pos="426"/>
        </w:tabs>
        <w:spacing w:line="480" w:lineRule="auto"/>
        <w:ind w:firstLine="424" w:firstLineChars="202"/>
        <w:rPr>
          <w:u w:val="single"/>
        </w:rPr>
      </w:pPr>
    </w:p>
    <w:p>
      <w:pPr>
        <w:tabs>
          <w:tab w:val="clear" w:pos="426"/>
        </w:tabs>
        <w:spacing w:line="480" w:lineRule="auto"/>
        <w:ind w:firstLine="424" w:firstLineChars="202"/>
      </w:pPr>
      <w:r>
        <w:rPr>
          <w:rFonts w:hint="eastAsia"/>
          <w:u w:val="single"/>
        </w:rPr>
        <w:t>__________</w:t>
      </w:r>
      <w:r>
        <w:rPr>
          <w:rFonts w:hint="eastAsia"/>
        </w:rPr>
        <w:t>同志，现任我单位</w:t>
      </w:r>
      <w:r>
        <w:rPr>
          <w:u w:val="single"/>
        </w:rPr>
        <w:t>_________</w:t>
      </w:r>
      <w:r>
        <w:rPr>
          <w:rFonts w:hint="eastAsia"/>
        </w:rPr>
        <w:t>职务，为法定代表人，特此证明。</w:t>
      </w:r>
    </w:p>
    <w:p>
      <w:pPr>
        <w:tabs>
          <w:tab w:val="clear" w:pos="426"/>
        </w:tabs>
        <w:spacing w:line="480" w:lineRule="auto"/>
        <w:ind w:firstLine="424" w:firstLineChars="202"/>
      </w:pPr>
      <w:r>
        <w:rPr>
          <w:rFonts w:hint="eastAsia"/>
        </w:rPr>
        <w:t>本证明书自签发之日起生效，有效期与本公司谈判应答文件成交注的谈判应答有效期相同。</w:t>
      </w:r>
    </w:p>
    <w:p>
      <w:pPr>
        <w:tabs>
          <w:tab w:val="clear" w:pos="426"/>
        </w:tabs>
        <w:spacing w:line="480" w:lineRule="auto"/>
        <w:ind w:firstLine="424" w:firstLineChars="202"/>
      </w:pPr>
      <w:r>
        <w:rPr>
          <w:rFonts w:hint="eastAsia"/>
        </w:rPr>
        <w:t>附：</w:t>
      </w:r>
    </w:p>
    <w:p>
      <w:pPr>
        <w:tabs>
          <w:tab w:val="clear" w:pos="426"/>
        </w:tabs>
        <w:spacing w:line="480" w:lineRule="auto"/>
        <w:ind w:firstLine="424" w:firstLineChars="202"/>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u w:val="single"/>
        </w:rPr>
      </w:pPr>
      <w:r>
        <w:rPr>
          <w:rFonts w:hint="eastAsia"/>
        </w:rPr>
        <w:t>兼营（产）：</w:t>
      </w:r>
      <w:r>
        <w:rPr>
          <w:rFonts w:hint="eastAsia"/>
          <w:u w:val="single"/>
        </w:rPr>
        <w:t>_______________________________________________________</w:t>
      </w:r>
    </w:p>
    <w:p>
      <w:pPr>
        <w:tabs>
          <w:tab w:val="clear" w:pos="426"/>
        </w:tabs>
        <w:ind w:firstLine="424" w:firstLineChars="202"/>
      </w:pPr>
    </w:p>
    <w:p>
      <w:pPr>
        <w:tabs>
          <w:tab w:val="clear" w:pos="426"/>
        </w:tabs>
        <w:ind w:firstLine="424" w:firstLineChars="202"/>
        <w:rPr>
          <w:szCs w:val="21"/>
        </w:rPr>
      </w:pPr>
      <w:r>
        <w:rPr>
          <w:rFonts w:hint="eastAsia"/>
          <w:szCs w:val="21"/>
        </w:rPr>
        <w:t>附：法定代表人身份证复印件：</w:t>
      </w:r>
    </w:p>
    <w:p>
      <w:pPr>
        <w:tabs>
          <w:tab w:val="clear" w:pos="426"/>
        </w:tabs>
        <w:ind w:firstLine="424" w:firstLineChars="202"/>
        <w:rPr>
          <w:szCs w:val="21"/>
        </w:rPr>
      </w:pPr>
    </w:p>
    <w:p>
      <w:pPr>
        <w:tabs>
          <w:tab w:val="clear" w:pos="426"/>
        </w:tabs>
        <w:ind w:firstLine="424" w:firstLineChars="202"/>
        <w:rPr>
          <w:szCs w:val="21"/>
        </w:rPr>
      </w:pPr>
    </w:p>
    <w:p>
      <w:pPr>
        <w:tabs>
          <w:tab w:val="clear" w:pos="426"/>
        </w:tabs>
        <w:ind w:firstLine="424" w:firstLineChars="202"/>
        <w:rPr>
          <w:szCs w:val="21"/>
        </w:rPr>
      </w:pPr>
    </w:p>
    <w:p>
      <w:pPr>
        <w:tabs>
          <w:tab w:val="clear" w:pos="426"/>
        </w:tabs>
        <w:spacing w:line="500" w:lineRule="exact"/>
        <w:ind w:left="3826" w:leftChars="1822"/>
        <w:rPr>
          <w:u w:val="single"/>
        </w:rPr>
      </w:pPr>
      <w:r>
        <w:rPr>
          <w:rFonts w:hint="eastAsia"/>
        </w:rPr>
        <w:t>谈判应答人名称（单位盖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b/>
          <w:bCs/>
          <w:u w:val="single"/>
        </w:rPr>
      </w:pPr>
    </w:p>
    <w:p>
      <w:pPr>
        <w:numPr>
          <w:ilvl w:val="0"/>
          <w:numId w:val="20"/>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t>谈判应答人基本情况表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55" w:name="_Toc275865616"/>
      <w:bookmarkStart w:id="56" w:name="_Toc480754207"/>
      <w:bookmarkStart w:id="57" w:name="_Toc480756074"/>
      <w:bookmarkStart w:id="58" w:name="_Toc173553182"/>
      <w:bookmarkStart w:id="59" w:name="_Toc480789478"/>
      <w:bookmarkStart w:id="60" w:name="_Toc480755928"/>
      <w:r>
        <w:rPr>
          <w:rFonts w:hint="eastAsia" w:cs="Times New Roman"/>
          <w:bCs/>
          <w:kern w:val="2"/>
          <w:sz w:val="32"/>
          <w:szCs w:val="32"/>
        </w:rPr>
        <w:t>谈判应答人基本情况表</w:t>
      </w:r>
      <w:bookmarkEnd w:id="55"/>
      <w:bookmarkEnd w:id="56"/>
      <w:bookmarkEnd w:id="57"/>
      <w:bookmarkEnd w:id="58"/>
      <w:bookmarkEnd w:id="59"/>
      <w:bookmarkEnd w:id="60"/>
    </w:p>
    <w:p>
      <w:pPr>
        <w:widowControl w:val="0"/>
        <w:shd w:val="clear" w:color="auto" w:fill="auto"/>
        <w:tabs>
          <w:tab w:val="clear" w:pos="426"/>
        </w:tabs>
        <w:adjustRightInd/>
        <w:snapToGrid/>
        <w:rPr>
          <w:rFonts w:cs="Arial"/>
          <w:b/>
          <w:szCs w:val="21"/>
        </w:rPr>
      </w:pPr>
      <w:r>
        <w:rPr>
          <w:rFonts w:hint="eastAsia" w:cs="Arial"/>
          <w:b/>
          <w:szCs w:val="21"/>
        </w:rPr>
        <w:t>一、</w:t>
      </w:r>
      <w:r>
        <w:rPr>
          <w:rFonts w:cs="Arial"/>
          <w:b/>
          <w:szCs w:val="21"/>
        </w:rPr>
        <w:t>公司基本情况</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_____________________________</w:t>
      </w:r>
    </w:p>
    <w:p>
      <w:pPr>
        <w:widowControl w:val="0"/>
        <w:numPr>
          <w:ilvl w:val="1"/>
          <w:numId w:val="29"/>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公司开户银行名称及账号：</w:t>
      </w:r>
      <w:r>
        <w:rPr>
          <w:rFonts w:hint="eastAsia" w:cs="Arial"/>
          <w:szCs w:val="21"/>
          <w:u w:val="single"/>
        </w:rPr>
        <w:t>_________________________________________________________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营业注册执照号：</w:t>
      </w:r>
      <w:r>
        <w:rPr>
          <w:rFonts w:hint="eastAsia" w:cs="Arial"/>
          <w:szCs w:val="21"/>
          <w:u w:val="single"/>
        </w:rPr>
        <w:t>__________________________________________________________________</w:t>
      </w:r>
    </w:p>
    <w:p>
      <w:pPr>
        <w:widowControl w:val="0"/>
        <w:numPr>
          <w:ilvl w:val="1"/>
          <w:numId w:val="29"/>
        </w:numPr>
        <w:shd w:val="clear" w:color="auto" w:fill="auto"/>
        <w:tabs>
          <w:tab w:val="clear" w:pos="426"/>
        </w:tabs>
        <w:adjustRightInd/>
        <w:snapToGrid/>
        <w:ind w:left="0" w:firstLine="426"/>
        <w:rPr>
          <w:rFonts w:cs="Arial"/>
          <w:szCs w:val="21"/>
        </w:rPr>
      </w:pPr>
      <w:r>
        <w:rPr>
          <w:rFonts w:cs="Arial"/>
          <w:szCs w:val="21"/>
        </w:rPr>
        <w:t>公司简介</w:t>
      </w:r>
    </w:p>
    <w:p>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pPr>
        <w:widowControl w:val="0"/>
        <w:shd w:val="clear" w:color="auto" w:fill="auto"/>
        <w:tabs>
          <w:tab w:val="clear" w:pos="426"/>
        </w:tabs>
        <w:adjustRightInd/>
        <w:snapToGrid/>
        <w:rPr>
          <w:rFonts w:cs="Arial"/>
          <w:b/>
          <w:szCs w:val="21"/>
        </w:rPr>
      </w:pPr>
      <w:r>
        <w:rPr>
          <w:rFonts w:hint="eastAsia" w:cs="Arial"/>
          <w:b/>
          <w:szCs w:val="21"/>
        </w:rPr>
        <w:t>二、供应商资格证明文件</w:t>
      </w:r>
    </w:p>
    <w:p>
      <w:pPr>
        <w:tabs>
          <w:tab w:val="clear" w:pos="426"/>
        </w:tabs>
        <w:spacing w:before="120" w:beforeLines="50"/>
        <w:ind w:firstLine="424" w:firstLineChars="201"/>
        <w:rPr>
          <w:b/>
        </w:rPr>
      </w:pPr>
      <w:r>
        <w:rPr>
          <w:rFonts w:hint="eastAsia"/>
          <w:b/>
        </w:rPr>
        <w:t>谈判应答人须按本采购文件第一章采购公告第二条“谈判应答人资质要求”提供相关的资质证明，且已接受报名的单位，不代表资格审查通过。谈判应答文件中未提供或提供不完整、不符合要求的，谈判应答文件将按无效标的情形处理。</w:t>
      </w:r>
    </w:p>
    <w:p>
      <w:pPr>
        <w:tabs>
          <w:tab w:val="clear" w:pos="426"/>
        </w:tabs>
        <w:spacing w:line="500" w:lineRule="exact"/>
        <w:ind w:left="424" w:leftChars="202"/>
        <w:rPr>
          <w:spacing w:val="4"/>
        </w:rPr>
      </w:pPr>
    </w:p>
    <w:p>
      <w:pPr>
        <w:tabs>
          <w:tab w:val="clear" w:pos="426"/>
        </w:tabs>
        <w:spacing w:line="500" w:lineRule="exact"/>
        <w:ind w:left="424" w:leftChars="202"/>
        <w:rPr>
          <w:spacing w:val="4"/>
        </w:rPr>
      </w:pPr>
    </w:p>
    <w:p>
      <w:pPr>
        <w:tabs>
          <w:tab w:val="clear" w:pos="426"/>
        </w:tabs>
        <w:spacing w:line="500" w:lineRule="exact"/>
        <w:ind w:left="424" w:leftChars="202"/>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w:t>
      </w:r>
    </w:p>
    <w:p>
      <w:pPr>
        <w:tabs>
          <w:tab w:val="clear" w:pos="426"/>
        </w:tabs>
        <w:spacing w:line="520" w:lineRule="exact"/>
        <w:ind w:left="424" w:leftChars="202"/>
        <w:rPr>
          <w:spacing w:val="4"/>
        </w:rPr>
      </w:pPr>
      <w:r>
        <w:rPr>
          <w:rFonts w:hint="eastAsia"/>
        </w:rPr>
        <w:t>法定代表人或谈判应答人授权代表（签名或盖章）：</w:t>
      </w:r>
      <w:r>
        <w:rPr>
          <w:spacing w:val="4"/>
          <w:u w:val="single"/>
        </w:rPr>
        <w:t>________</w:t>
      </w:r>
      <w:r>
        <w:rPr>
          <w:rFonts w:hint="eastAsia"/>
          <w:spacing w:val="4"/>
          <w:u w:val="single"/>
        </w:rPr>
        <w:t>_</w:t>
      </w:r>
      <w:r>
        <w:rPr>
          <w:spacing w:val="4"/>
          <w:u w:val="single"/>
        </w:rPr>
        <w:t>_</w:t>
      </w:r>
      <w:r>
        <w:rPr>
          <w:rFonts w:hint="eastAsia"/>
          <w:spacing w:val="4"/>
          <w:u w:val="single"/>
        </w:rPr>
        <w:t>_</w:t>
      </w:r>
      <w:r>
        <w:rPr>
          <w:spacing w:val="4"/>
          <w:u w:val="single"/>
        </w:rPr>
        <w:t>_</w:t>
      </w:r>
      <w:r>
        <w:rPr>
          <w:rFonts w:hint="eastAsia"/>
          <w:spacing w:val="4"/>
          <w:u w:val="single"/>
        </w:rPr>
        <w:t>_</w:t>
      </w:r>
      <w:r>
        <w:rPr>
          <w:spacing w:val="4"/>
          <w:u w:val="single"/>
        </w:rPr>
        <w:t>___</w:t>
      </w:r>
    </w:p>
    <w:p>
      <w:pPr>
        <w:tabs>
          <w:tab w:val="clear" w:pos="426"/>
        </w:tabs>
        <w:spacing w:line="520" w:lineRule="exact"/>
        <w:ind w:left="424" w:leftChars="202"/>
        <w:rPr>
          <w:spacing w:val="4"/>
        </w:rPr>
      </w:pPr>
      <w:r>
        <w:rPr>
          <w:rFonts w:hint="eastAsia"/>
          <w:spacing w:val="4"/>
        </w:rPr>
        <w:t>职务：</w:t>
      </w:r>
      <w:r>
        <w:rPr>
          <w:spacing w:val="4"/>
          <w:u w:val="single"/>
        </w:rPr>
        <w:t>____</w:t>
      </w:r>
      <w:r>
        <w:rPr>
          <w:rFonts w:hint="eastAsia"/>
          <w:spacing w:val="4"/>
          <w:u w:val="single"/>
        </w:rPr>
        <w:t>_________________________________________</w:t>
      </w:r>
      <w:r>
        <w:rPr>
          <w:spacing w:val="4"/>
          <w:u w:val="single"/>
        </w:rPr>
        <w:t>____</w:t>
      </w:r>
    </w:p>
    <w:p>
      <w:pPr>
        <w:tabs>
          <w:tab w:val="clear" w:pos="426"/>
        </w:tabs>
        <w:spacing w:line="520" w:lineRule="exact"/>
        <w:ind w:left="424" w:leftChars="202"/>
        <w:rPr>
          <w:rFonts w:ascii="黑体" w:eastAsia="黑体"/>
          <w:b/>
          <w:bCs/>
          <w:sz w:val="28"/>
        </w:rPr>
      </w:pPr>
      <w:r>
        <w:rPr>
          <w:rFonts w:hint="eastAsia"/>
          <w:spacing w:val="4"/>
        </w:rPr>
        <w:t>日期</w:t>
      </w:r>
      <w:r>
        <w:rPr>
          <w:spacing w:val="4"/>
          <w:u w:val="single"/>
        </w:rPr>
        <w:t>_____</w:t>
      </w:r>
      <w:r>
        <w:rPr>
          <w:rFonts w:hint="eastAsia"/>
          <w:spacing w:val="4"/>
          <w:u w:val="single"/>
        </w:rPr>
        <w:t>__________________________________________</w:t>
      </w:r>
      <w:r>
        <w:rPr>
          <w:spacing w:val="4"/>
          <w:u w:val="single"/>
        </w:rPr>
        <w:t>____</w:t>
      </w:r>
    </w:p>
    <w:p>
      <w:pPr>
        <w:tabs>
          <w:tab w:val="clear" w:pos="426"/>
        </w:tabs>
        <w:spacing w:line="520" w:lineRule="exact"/>
        <w:ind w:left="424" w:leftChars="202"/>
        <w:rPr>
          <w:rFonts w:ascii="黑体" w:eastAsia="黑体"/>
          <w:b/>
          <w:bCs/>
          <w:sz w:val="28"/>
        </w:rPr>
      </w:pPr>
    </w:p>
    <w:p>
      <w:pPr>
        <w:tabs>
          <w:tab w:val="clear" w:pos="426"/>
        </w:tabs>
        <w:spacing w:line="520" w:lineRule="exact"/>
        <w:ind w:left="424" w:leftChars="202"/>
        <w:rPr>
          <w:rFonts w:ascii="黑体" w:eastAsia="黑体"/>
          <w:b/>
          <w:bCs/>
          <w:sz w:val="28"/>
        </w:rPr>
      </w:pPr>
    </w:p>
    <w:p>
      <w:pPr>
        <w:numPr>
          <w:ilvl w:val="0"/>
          <w:numId w:val="20"/>
        </w:numPr>
        <w:tabs>
          <w:tab w:val="clear" w:pos="426"/>
        </w:tabs>
        <w:adjustRightInd/>
        <w:snapToGrid/>
        <w:spacing w:before="280" w:after="290" w:line="377" w:lineRule="auto"/>
        <w:ind w:left="988" w:hanging="704"/>
        <w:jc w:val="left"/>
        <w:outlineLvl w:val="2"/>
        <w:rPr>
          <w:b/>
          <w:sz w:val="24"/>
        </w:rPr>
      </w:pPr>
      <w:r>
        <w:br w:type="page"/>
      </w:r>
      <w:r>
        <w:rPr>
          <w:rFonts w:hint="eastAsia"/>
          <w:b/>
          <w:sz w:val="24"/>
        </w:rPr>
        <w:t>谈判初始报价一览表(报价表)</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61" w:name="_Toc480754208"/>
      <w:bookmarkStart w:id="62" w:name="_Toc480755929"/>
      <w:bookmarkStart w:id="63" w:name="_Toc480789479"/>
      <w:bookmarkStart w:id="64" w:name="_Toc480756075"/>
      <w:r>
        <w:rPr>
          <w:rFonts w:hint="eastAsia" w:cs="Times New Roman"/>
          <w:bCs/>
          <w:kern w:val="2"/>
          <w:sz w:val="32"/>
          <w:szCs w:val="32"/>
        </w:rPr>
        <w:t>谈判初始报价一览表(报价表)</w:t>
      </w:r>
      <w:bookmarkEnd w:id="61"/>
      <w:bookmarkEnd w:id="62"/>
      <w:bookmarkEnd w:id="63"/>
      <w:bookmarkEnd w:id="64"/>
    </w:p>
    <w:p>
      <w:pPr>
        <w:tabs>
          <w:tab w:val="clear" w:pos="426"/>
        </w:tabs>
        <w:jc w:val="left"/>
      </w:pPr>
    </w:p>
    <w:p>
      <w:pPr>
        <w:tabs>
          <w:tab w:val="clear" w:pos="426"/>
        </w:tabs>
        <w:jc w:val="left"/>
        <w:rPr>
          <w:sz w:val="24"/>
          <w:u w:val="single"/>
        </w:rPr>
      </w:pPr>
      <w:r>
        <w:rPr>
          <w:rFonts w:hint="eastAsia"/>
        </w:rPr>
        <w:t>项目名称：</w:t>
      </w:r>
      <w:r>
        <w:rPr>
          <w:rFonts w:hint="eastAsia" w:ascii="Times New Roman" w:hAnsi="Times New Roman" w:cs="Times New Roman"/>
          <w:kern w:val="2"/>
          <w:szCs w:val="20"/>
          <w:u w:val="single"/>
        </w:rPr>
        <w:t xml:space="preserve">               </w:t>
      </w:r>
      <w:r>
        <w:rPr>
          <w:rFonts w:ascii="Times New Roman" w:hAnsi="Times New Roman" w:cs="Times New Roman"/>
          <w:kern w:val="2"/>
          <w:szCs w:val="20"/>
        </w:rPr>
        <w:t xml:space="preserve">          </w:t>
      </w:r>
      <w:r>
        <w:rPr>
          <w:rFonts w:hint="eastAsia"/>
        </w:rPr>
        <w:t>采购项目编号：</w:t>
      </w:r>
      <w:r>
        <w:rPr>
          <w:rFonts w:hint="eastAsia"/>
          <w:szCs w:val="21"/>
          <w:u w:val="single"/>
        </w:rPr>
        <w:t xml:space="preserve">   </w:t>
      </w:r>
      <w:r>
        <w:rPr>
          <w:rFonts w:hint="eastAsia"/>
          <w:u w:val="single"/>
        </w:rPr>
        <w:t xml:space="preserve"> _______</w:t>
      </w:r>
    </w:p>
    <w:tbl>
      <w:tblPr>
        <w:tblStyle w:val="44"/>
        <w:tblW w:w="4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615"/>
        <w:gridCol w:w="259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5" w:type="pct"/>
            <w:shd w:val="clear" w:color="auto" w:fill="auto"/>
            <w:vAlign w:val="center"/>
          </w:tcPr>
          <w:p>
            <w:pPr>
              <w:tabs>
                <w:tab w:val="clear" w:pos="426"/>
              </w:tabs>
              <w:spacing w:line="240" w:lineRule="auto"/>
              <w:jc w:val="center"/>
              <w:rPr>
                <w:b/>
                <w:szCs w:val="21"/>
              </w:rPr>
            </w:pPr>
            <w:r>
              <w:rPr>
                <w:rFonts w:hint="eastAsia"/>
                <w:b/>
                <w:szCs w:val="21"/>
              </w:rPr>
              <w:t>序号</w:t>
            </w:r>
          </w:p>
        </w:tc>
        <w:tc>
          <w:tcPr>
            <w:tcW w:w="1673" w:type="pct"/>
            <w:shd w:val="clear" w:color="auto" w:fill="auto"/>
            <w:vAlign w:val="center"/>
          </w:tcPr>
          <w:p>
            <w:pPr>
              <w:tabs>
                <w:tab w:val="clear" w:pos="426"/>
              </w:tabs>
              <w:spacing w:line="240" w:lineRule="auto"/>
              <w:jc w:val="center"/>
              <w:rPr>
                <w:b/>
                <w:szCs w:val="21"/>
              </w:rPr>
            </w:pPr>
            <w:r>
              <w:rPr>
                <w:rFonts w:hint="eastAsia"/>
                <w:b/>
                <w:szCs w:val="21"/>
              </w:rPr>
              <w:t>项目名称</w:t>
            </w:r>
          </w:p>
        </w:tc>
        <w:tc>
          <w:tcPr>
            <w:tcW w:w="1659" w:type="pct"/>
            <w:shd w:val="clear" w:color="auto" w:fill="auto"/>
            <w:vAlign w:val="center"/>
          </w:tcPr>
          <w:p>
            <w:pPr>
              <w:tabs>
                <w:tab w:val="clear" w:pos="426"/>
              </w:tabs>
              <w:spacing w:line="240" w:lineRule="auto"/>
              <w:jc w:val="center"/>
              <w:rPr>
                <w:b/>
                <w:szCs w:val="21"/>
              </w:rPr>
            </w:pPr>
            <w:r>
              <w:rPr>
                <w:rFonts w:hint="eastAsia"/>
                <w:b/>
                <w:szCs w:val="21"/>
              </w:rPr>
              <w:t>谈判应答总价（折扣率）</w:t>
            </w:r>
          </w:p>
        </w:tc>
        <w:tc>
          <w:tcPr>
            <w:tcW w:w="873" w:type="pct"/>
            <w:shd w:val="clear" w:color="auto" w:fill="auto"/>
            <w:vAlign w:val="center"/>
          </w:tcPr>
          <w:p>
            <w:pPr>
              <w:tabs>
                <w:tab w:val="clear" w:pos="426"/>
              </w:tabs>
              <w:spacing w:line="24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5" w:type="pct"/>
            <w:shd w:val="clear" w:color="auto" w:fill="auto"/>
            <w:vAlign w:val="center"/>
          </w:tcPr>
          <w:p>
            <w:pPr>
              <w:tabs>
                <w:tab w:val="clear" w:pos="426"/>
              </w:tabs>
              <w:jc w:val="center"/>
              <w:rPr>
                <w:bCs/>
                <w:szCs w:val="21"/>
              </w:rPr>
            </w:pPr>
          </w:p>
        </w:tc>
        <w:tc>
          <w:tcPr>
            <w:tcW w:w="1673" w:type="pct"/>
            <w:shd w:val="clear" w:color="auto" w:fill="auto"/>
            <w:vAlign w:val="center"/>
          </w:tcPr>
          <w:p>
            <w:pPr>
              <w:tabs>
                <w:tab w:val="clear" w:pos="426"/>
              </w:tabs>
              <w:jc w:val="center"/>
              <w:rPr>
                <w:szCs w:val="21"/>
              </w:rPr>
            </w:pPr>
          </w:p>
        </w:tc>
        <w:tc>
          <w:tcPr>
            <w:tcW w:w="1659" w:type="pct"/>
            <w:shd w:val="clear" w:color="auto" w:fill="auto"/>
            <w:vAlign w:val="center"/>
          </w:tcPr>
          <w:p>
            <w:pPr>
              <w:tabs>
                <w:tab w:val="clear" w:pos="426"/>
              </w:tabs>
              <w:jc w:val="center"/>
              <w:rPr>
                <w:b/>
                <w:szCs w:val="21"/>
              </w:rPr>
            </w:pPr>
          </w:p>
        </w:tc>
        <w:tc>
          <w:tcPr>
            <w:tcW w:w="873" w:type="pct"/>
            <w:shd w:val="clear" w:color="auto" w:fill="auto"/>
            <w:vAlign w:val="center"/>
          </w:tcPr>
          <w:p>
            <w:pPr>
              <w:tabs>
                <w:tab w:val="clear" w:pos="426"/>
              </w:tabs>
              <w:jc w:val="center"/>
              <w:rPr>
                <w:b/>
                <w:szCs w:val="21"/>
              </w:rPr>
            </w:pPr>
          </w:p>
        </w:tc>
      </w:tr>
    </w:tbl>
    <w:p>
      <w:pPr>
        <w:tabs>
          <w:tab w:val="clear" w:pos="426"/>
        </w:tabs>
        <w:spacing w:line="500" w:lineRule="exact"/>
        <w:rPr>
          <w:spacing w:val="4"/>
        </w:rPr>
      </w:pPr>
    </w:p>
    <w:p>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法定代表人或谈判应答人授权代表（签名或盖章）：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b/>
          <w:bCs/>
          <w:szCs w:val="21"/>
        </w:rPr>
      </w:pPr>
      <w:r>
        <w:rPr>
          <w:rFonts w:hint="eastAsia"/>
          <w:b/>
          <w:bCs/>
          <w:szCs w:val="21"/>
        </w:rPr>
        <w:t>备注：</w:t>
      </w:r>
    </w:p>
    <w:p>
      <w:pPr>
        <w:widowControl w:val="0"/>
        <w:numPr>
          <w:ilvl w:val="1"/>
          <w:numId w:val="30"/>
        </w:numPr>
        <w:shd w:val="clear" w:color="auto" w:fill="auto"/>
        <w:tabs>
          <w:tab w:val="clear" w:pos="426"/>
        </w:tabs>
        <w:adjustRightInd/>
        <w:ind w:left="0" w:firstLine="424" w:firstLineChars="201"/>
        <w:rPr>
          <w:b/>
          <w:bCs/>
          <w:szCs w:val="21"/>
        </w:rPr>
      </w:pPr>
      <w:r>
        <w:rPr>
          <w:b/>
        </w:rPr>
        <w:t>此表</w:t>
      </w:r>
      <w:r>
        <w:rPr>
          <w:rFonts w:hint="eastAsia"/>
          <w:b/>
        </w:rPr>
        <w:t>为谈判应答文件的组成部分，</w:t>
      </w:r>
      <w:r>
        <w:rPr>
          <w:b/>
        </w:rPr>
        <w:t>须附在正、副本的谈判应答文件中。</w:t>
      </w:r>
    </w:p>
    <w:p>
      <w:pPr>
        <w:widowControl w:val="0"/>
        <w:numPr>
          <w:ilvl w:val="1"/>
          <w:numId w:val="30"/>
        </w:numPr>
        <w:shd w:val="clear" w:color="auto" w:fill="auto"/>
        <w:tabs>
          <w:tab w:val="clear" w:pos="426"/>
        </w:tabs>
        <w:adjustRightInd/>
        <w:ind w:left="0" w:firstLine="424" w:firstLineChars="201"/>
        <w:rPr>
          <w:b/>
          <w:bCs/>
          <w:szCs w:val="21"/>
        </w:rPr>
      </w:pPr>
      <w:r>
        <w:rPr>
          <w:rFonts w:hint="eastAsia"/>
          <w:b/>
        </w:rPr>
        <w:t>谈判应答文件内不得含有任何对本报价进行修改的其他说明或资料，否则为无效谈判应答</w:t>
      </w:r>
      <w:r>
        <w:rPr>
          <w:rFonts w:hint="eastAsia"/>
          <w:b/>
          <w:bCs/>
          <w:szCs w:val="21"/>
        </w:rPr>
        <w:t>。</w:t>
      </w:r>
    </w:p>
    <w:p>
      <w:pPr>
        <w:shd w:val="clear" w:color="auto" w:fill="auto"/>
        <w:tabs>
          <w:tab w:val="clear" w:pos="426"/>
        </w:tabs>
        <w:adjustRightInd/>
        <w:snapToGrid/>
        <w:spacing w:line="240" w:lineRule="auto"/>
        <w:jc w:val="left"/>
        <w:rPr>
          <w:b/>
          <w:bCs/>
          <w:szCs w:val="21"/>
        </w:rPr>
      </w:pPr>
      <w:r>
        <w:rPr>
          <w:b/>
          <w:bCs/>
          <w:szCs w:val="21"/>
        </w:rPr>
        <w:br w:type="page"/>
      </w:r>
    </w:p>
    <w:p>
      <w:pPr>
        <w:widowControl w:val="0"/>
        <w:shd w:val="clear" w:color="auto" w:fill="auto"/>
        <w:tabs>
          <w:tab w:val="clear" w:pos="426"/>
        </w:tabs>
        <w:adjustRightInd/>
        <w:rPr>
          <w:b/>
          <w:bCs/>
          <w:szCs w:val="21"/>
        </w:rPr>
      </w:pPr>
    </w:p>
    <w:p>
      <w:pPr>
        <w:numPr>
          <w:ilvl w:val="0"/>
          <w:numId w:val="20"/>
        </w:numPr>
        <w:tabs>
          <w:tab w:val="clear" w:pos="426"/>
        </w:tabs>
        <w:adjustRightInd/>
        <w:snapToGrid/>
        <w:spacing w:before="280" w:after="290" w:line="377" w:lineRule="auto"/>
        <w:ind w:left="988" w:hanging="704"/>
        <w:jc w:val="left"/>
        <w:outlineLvl w:val="2"/>
        <w:rPr>
          <w:b/>
          <w:bCs/>
          <w:sz w:val="24"/>
        </w:rPr>
      </w:pPr>
      <w:r>
        <w:rPr>
          <w:rFonts w:hint="eastAsia"/>
          <w:b/>
          <w:sz w:val="24"/>
        </w:rPr>
        <w:t>实质性响应条款偏离表</w:t>
      </w: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实质性响应条款偏离表</w:t>
      </w:r>
    </w:p>
    <w:p>
      <w:pPr>
        <w:tabs>
          <w:tab w:val="clear" w:pos="426"/>
        </w:tabs>
        <w:wordWrap w:val="0"/>
      </w:pPr>
      <w:r>
        <w:rPr>
          <w:rFonts w:hint="eastAsia"/>
        </w:rPr>
        <w:t>项目名称：</w:t>
      </w:r>
      <w:r>
        <w:t>_____________________________________</w:t>
      </w:r>
      <w:r>
        <w:rPr>
          <w:rFonts w:hint="eastAsia"/>
        </w:rPr>
        <w:t>采购项目编号：</w:t>
      </w:r>
      <w:r>
        <w:t>_________________________</w:t>
      </w:r>
    </w:p>
    <w:p>
      <w:pPr>
        <w:tabs>
          <w:tab w:val="clear" w:pos="426"/>
        </w:tabs>
        <w:wordWrap w:val="0"/>
      </w:pPr>
      <w:r>
        <w:rPr>
          <w:rFonts w:hint="eastAsia"/>
        </w:rPr>
        <w:t>（一）据采购文件要求，我公司对实质性相应条款承诺响应如下：</w:t>
      </w:r>
    </w:p>
    <w:tbl>
      <w:tblPr>
        <w:tblStyle w:val="4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114"/>
        <w:gridCol w:w="2815"/>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27" w:type="dxa"/>
            <w:vAlign w:val="center"/>
          </w:tcPr>
          <w:p>
            <w:pPr>
              <w:spacing w:line="240" w:lineRule="auto"/>
              <w:jc w:val="center"/>
              <w:rPr>
                <w:szCs w:val="21"/>
              </w:rPr>
            </w:pPr>
            <w:r>
              <w:rPr>
                <w:rFonts w:hint="eastAsia"/>
                <w:szCs w:val="21"/>
              </w:rPr>
              <w:t>序号</w:t>
            </w:r>
          </w:p>
        </w:tc>
        <w:tc>
          <w:tcPr>
            <w:tcW w:w="3114" w:type="dxa"/>
            <w:vAlign w:val="center"/>
          </w:tcPr>
          <w:p>
            <w:pPr>
              <w:spacing w:line="240" w:lineRule="auto"/>
              <w:jc w:val="center"/>
              <w:rPr>
                <w:rFonts w:cs="Arial"/>
                <w:szCs w:val="21"/>
              </w:rPr>
            </w:pPr>
            <w:r>
              <w:rPr>
                <w:rFonts w:hint="eastAsia" w:cs="Arial"/>
                <w:szCs w:val="21"/>
              </w:rPr>
              <w:t>采购文件要求内容</w:t>
            </w:r>
          </w:p>
        </w:tc>
        <w:tc>
          <w:tcPr>
            <w:tcW w:w="2815" w:type="dxa"/>
            <w:vAlign w:val="center"/>
          </w:tcPr>
          <w:p>
            <w:pPr>
              <w:spacing w:line="240" w:lineRule="auto"/>
              <w:jc w:val="center"/>
              <w:rPr>
                <w:rFonts w:cs="Arial"/>
                <w:szCs w:val="21"/>
              </w:rPr>
            </w:pPr>
            <w:r>
              <w:rPr>
                <w:rFonts w:hint="eastAsia" w:cs="Arial"/>
                <w:szCs w:val="21"/>
              </w:rPr>
              <w:t>谈判应答文件响应</w:t>
            </w:r>
          </w:p>
        </w:tc>
        <w:tc>
          <w:tcPr>
            <w:tcW w:w="2814" w:type="dxa"/>
            <w:vAlign w:val="center"/>
          </w:tcPr>
          <w:p>
            <w:pPr>
              <w:spacing w:line="240" w:lineRule="auto"/>
              <w:jc w:val="center"/>
              <w:rPr>
                <w:rFonts w:cs="Arial"/>
                <w:szCs w:val="21"/>
              </w:rPr>
            </w:pPr>
            <w:r>
              <w:rPr>
                <w:rFonts w:hint="eastAsia" w:cs="Arial"/>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pPr>
              <w:spacing w:line="240" w:lineRule="auto"/>
              <w:jc w:val="center"/>
            </w:pPr>
            <w:r>
              <w:rPr>
                <w:rFonts w:hint="eastAsia"/>
              </w:rPr>
              <w:t>1.</w:t>
            </w:r>
          </w:p>
        </w:tc>
        <w:tc>
          <w:tcPr>
            <w:tcW w:w="3114"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ascii="Times New Roman"/>
              </w:rPr>
              <w:t>凡出现《资格性审查表》及《符合性审查表》中情形之一的，将导致谈判应答无效。以评审现场结论为准。</w:t>
            </w:r>
          </w:p>
        </w:tc>
        <w:tc>
          <w:tcPr>
            <w:tcW w:w="2815" w:type="dxa"/>
            <w:vMerge w:val="restart"/>
            <w:vAlign w:val="center"/>
          </w:tcPr>
          <w:p>
            <w:pPr>
              <w:spacing w:line="240" w:lineRule="auto"/>
              <w:jc w:val="center"/>
              <w:rPr>
                <w:szCs w:val="21"/>
              </w:rPr>
            </w:pPr>
            <w:r>
              <w:rPr>
                <w:rFonts w:hint="eastAsia" w:cs="Arial"/>
              </w:rPr>
              <w:t>完全满足采购文件第三章</w:t>
            </w:r>
            <w:r>
              <w:rPr>
                <w:rFonts w:hint="eastAsia"/>
              </w:rPr>
              <w:t>实质性响应条款</w:t>
            </w:r>
            <w:r>
              <w:rPr>
                <w:rFonts w:hint="eastAsia" w:cs="Arial"/>
              </w:rPr>
              <w:t>的全部内容</w:t>
            </w:r>
          </w:p>
        </w:tc>
        <w:tc>
          <w:tcPr>
            <w:tcW w:w="2814" w:type="dxa"/>
            <w:vMerge w:val="restart"/>
            <w:vAlign w:val="center"/>
          </w:tcPr>
          <w:p>
            <w:pPr>
              <w:spacing w:line="240" w:lineRule="auto"/>
              <w:jc w:val="center"/>
              <w:rPr>
                <w:szCs w:val="21"/>
              </w:rPr>
            </w:pPr>
            <w:r>
              <w:rPr>
                <w:szCs w:val="21"/>
              </w:rPr>
              <w:t>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pPr>
              <w:spacing w:line="240" w:lineRule="auto"/>
              <w:jc w:val="center"/>
            </w:pPr>
            <w:r>
              <w:rPr>
                <w:rFonts w:hint="eastAsia"/>
              </w:rPr>
              <w:t>2</w:t>
            </w:r>
          </w:p>
        </w:tc>
        <w:tc>
          <w:tcPr>
            <w:tcW w:w="3114"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ascii="Times New Roman"/>
              </w:rPr>
              <w:t>完全满足本项目服务期限的要求。</w:t>
            </w:r>
          </w:p>
        </w:tc>
        <w:tc>
          <w:tcPr>
            <w:tcW w:w="2815" w:type="dxa"/>
            <w:vMerge w:val="continue"/>
            <w:vAlign w:val="center"/>
          </w:tcPr>
          <w:p>
            <w:pPr>
              <w:spacing w:line="240" w:lineRule="auto"/>
              <w:jc w:val="center"/>
              <w:rPr>
                <w:rFonts w:cs="Arial"/>
              </w:rPr>
            </w:pPr>
          </w:p>
        </w:tc>
        <w:tc>
          <w:tcPr>
            <w:tcW w:w="2814" w:type="dxa"/>
            <w:vMerge w:val="continue"/>
            <w:vAlign w:val="center"/>
          </w:tcPr>
          <w:p>
            <w:pPr>
              <w:spacing w:line="24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7" w:type="dxa"/>
            <w:vAlign w:val="center"/>
          </w:tcPr>
          <w:p>
            <w:pPr>
              <w:spacing w:line="240" w:lineRule="auto"/>
              <w:jc w:val="center"/>
            </w:pPr>
            <w:r>
              <w:rPr>
                <w:rFonts w:hint="eastAsia"/>
              </w:rPr>
              <w:t>3</w:t>
            </w:r>
          </w:p>
        </w:tc>
        <w:tc>
          <w:tcPr>
            <w:tcW w:w="3114" w:type="dxa"/>
            <w:vAlign w:val="center"/>
          </w:tcPr>
          <w:p>
            <w:pPr>
              <w:widowControl w:val="0"/>
              <w:shd w:val="clear" w:color="auto" w:fill="auto"/>
              <w:tabs>
                <w:tab w:val="clear" w:pos="426"/>
              </w:tabs>
              <w:spacing w:line="240" w:lineRule="auto"/>
              <w:jc w:val="left"/>
              <w:rPr>
                <w:rFonts w:ascii="Times New Roman" w:cs="Times New Roman"/>
                <w:szCs w:val="21"/>
              </w:rPr>
            </w:pPr>
            <w:r>
              <w:rPr>
                <w:rFonts w:hint="eastAsia" w:ascii="Times New Roman"/>
              </w:rPr>
              <w:t>项目</w:t>
            </w:r>
            <w:r>
              <w:rPr>
                <w:rFonts w:ascii="Times New Roman"/>
              </w:rPr>
              <w:t>需求中</w:t>
            </w:r>
            <w:r>
              <w:rPr>
                <w:rFonts w:hint="eastAsia" w:ascii="Times New Roman"/>
              </w:rPr>
              <w:t>（以“★”标注）若出现不响应或任何的负偏离，将导致谈判应答无效。以《实质性条款响应情况表》和《项目需求响应情况表（实质性条款除外）》为准。</w:t>
            </w:r>
          </w:p>
        </w:tc>
        <w:tc>
          <w:tcPr>
            <w:tcW w:w="2815" w:type="dxa"/>
            <w:vMerge w:val="continue"/>
            <w:vAlign w:val="center"/>
          </w:tcPr>
          <w:p>
            <w:pPr>
              <w:spacing w:line="240" w:lineRule="auto"/>
              <w:jc w:val="center"/>
              <w:rPr>
                <w:rFonts w:cs="Arial"/>
              </w:rPr>
            </w:pPr>
          </w:p>
        </w:tc>
        <w:tc>
          <w:tcPr>
            <w:tcW w:w="2814" w:type="dxa"/>
            <w:vMerge w:val="continue"/>
            <w:vAlign w:val="center"/>
          </w:tcPr>
          <w:p>
            <w:pPr>
              <w:spacing w:line="240" w:lineRule="auto"/>
              <w:jc w:val="center"/>
              <w:rPr>
                <w:szCs w:val="21"/>
              </w:rPr>
            </w:pPr>
          </w:p>
        </w:tc>
      </w:tr>
    </w:tbl>
    <w:p>
      <w:pPr>
        <w:tabs>
          <w:tab w:val="clear" w:pos="426"/>
        </w:tabs>
        <w:wordWrap w:val="0"/>
      </w:pPr>
    </w:p>
    <w:p>
      <w:pPr>
        <w:tabs>
          <w:tab w:val="clear" w:pos="426"/>
        </w:tabs>
        <w:wordWrap w:val="0"/>
      </w:pPr>
      <w:r>
        <w:rPr>
          <w:rFonts w:hint="eastAsia"/>
        </w:rPr>
        <w:t>（二）对偏离情况为“正偏离”的项目的说明：</w:t>
      </w:r>
    </w:p>
    <w:p>
      <w:pPr>
        <w:tabs>
          <w:tab w:val="clear" w:pos="426"/>
        </w:tabs>
        <w:wordWrap w:val="0"/>
      </w:pPr>
      <w:r>
        <w:rPr>
          <w:rFonts w:hint="eastAsia"/>
        </w:rPr>
        <w:t>……</w:t>
      </w:r>
    </w:p>
    <w:p>
      <w:pPr>
        <w:tabs>
          <w:tab w:val="clear" w:pos="426"/>
        </w:tabs>
        <w:spacing w:line="400" w:lineRule="exact"/>
        <w:ind w:left="539" w:leftChars="200" w:hanging="119" w:hangingChars="57"/>
      </w:pPr>
    </w:p>
    <w:p>
      <w:pPr>
        <w:tabs>
          <w:tab w:val="clear" w:pos="426"/>
        </w:tabs>
        <w:spacing w:line="400" w:lineRule="exact"/>
        <w:ind w:left="539" w:leftChars="200" w:hanging="119" w:hangingChars="57"/>
      </w:pPr>
    </w:p>
    <w:p>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法定代表人或谈判应答人授权代表（签名或盖章）：</w:t>
      </w:r>
      <w:r>
        <w:rPr>
          <w:spacing w:val="4"/>
          <w:u w:val="single"/>
        </w:rPr>
        <w:t>__________</w:t>
      </w:r>
      <w:r>
        <w:rPr>
          <w:rFonts w:hint="eastAsia"/>
          <w:spacing w:val="4"/>
          <w:u w:val="single"/>
        </w:rPr>
        <w:t>_</w:t>
      </w:r>
      <w:r>
        <w:rPr>
          <w:spacing w:val="4"/>
          <w:u w:val="single"/>
        </w:rPr>
        <w:t>_______</w:t>
      </w:r>
      <w:r>
        <w:rPr>
          <w:spacing w:val="4"/>
        </w:rPr>
        <w:t xml:space="preserve"> </w:t>
      </w:r>
      <w:r>
        <w:rPr>
          <w:rFonts w:hint="eastAsia"/>
          <w:spacing w:val="4"/>
        </w:rPr>
        <w:t>日期</w:t>
      </w:r>
      <w:r>
        <w:rPr>
          <w:spacing w:val="4"/>
          <w:u w:val="single"/>
        </w:rPr>
        <w:t>_________</w:t>
      </w:r>
    </w:p>
    <w:p>
      <w:pPr>
        <w:tabs>
          <w:tab w:val="clear" w:pos="426"/>
        </w:tabs>
        <w:ind w:firstLine="420"/>
        <w:rPr>
          <w:u w:val="single"/>
        </w:rPr>
      </w:pPr>
    </w:p>
    <w:p>
      <w:pPr>
        <w:tabs>
          <w:tab w:val="clear" w:pos="426"/>
        </w:tabs>
        <w:spacing w:line="400" w:lineRule="exact"/>
        <w:ind w:left="539" w:leftChars="200" w:hanging="119" w:hangingChars="57"/>
      </w:pPr>
    </w:p>
    <w:p>
      <w:pPr>
        <w:rPr>
          <w:bCs/>
        </w:rPr>
      </w:pPr>
      <w:r>
        <w:rPr>
          <w:rFonts w:hint="eastAsia"/>
          <w:bCs/>
        </w:rPr>
        <w:t>填写说明：</w:t>
      </w:r>
    </w:p>
    <w:p>
      <w:pPr>
        <w:ind w:firstLine="420" w:firstLineChars="200"/>
        <w:rPr>
          <w:bCs/>
        </w:rPr>
      </w:pPr>
      <w:r>
        <w:rPr>
          <w:rFonts w:hint="eastAsia"/>
          <w:bCs/>
        </w:rPr>
        <w:t>1.上述表格， “谈判应答文件响应”栏填写“</w:t>
      </w:r>
      <w:r>
        <w:rPr>
          <w:rFonts w:hint="eastAsia" w:cs="Arial"/>
        </w:rPr>
        <w:t>完全满足采购文件第三章</w:t>
      </w:r>
      <w:r>
        <w:rPr>
          <w:rFonts w:hint="eastAsia"/>
        </w:rPr>
        <w:t>实质性响应条款</w:t>
      </w:r>
      <w:r>
        <w:rPr>
          <w:rFonts w:hint="eastAsia" w:cs="Arial"/>
        </w:rPr>
        <w:t>的全部内容</w:t>
      </w:r>
      <w:r>
        <w:rPr>
          <w:rFonts w:hint="eastAsia"/>
          <w:bCs/>
        </w:rPr>
        <w:t>”或者照抄“采购文件要求”栏即可。“偏离情况”栏中根据响应情况填写，达到要求的填“</w:t>
      </w:r>
      <w:r>
        <w:rPr>
          <w:rFonts w:hint="eastAsia" w:cs="Arial"/>
          <w:bCs/>
        </w:rPr>
        <w:t>无偏离</w:t>
      </w:r>
      <w:r>
        <w:rPr>
          <w:rFonts w:hint="eastAsia"/>
          <w:bCs/>
        </w:rPr>
        <w:t>”，优于要求的填“</w:t>
      </w:r>
      <w:r>
        <w:rPr>
          <w:rFonts w:hint="eastAsia" w:cs="Arial"/>
          <w:bCs/>
        </w:rPr>
        <w:t>正偏离</w:t>
      </w:r>
      <w:r>
        <w:rPr>
          <w:rFonts w:hint="eastAsia"/>
          <w:bCs/>
        </w:rPr>
        <w:t>”，没有达到要求的填“</w:t>
      </w:r>
      <w:r>
        <w:rPr>
          <w:rFonts w:hint="eastAsia" w:cs="Arial"/>
          <w:bCs/>
        </w:rPr>
        <w:t>负偏离</w:t>
      </w:r>
      <w:r>
        <w:rPr>
          <w:rFonts w:hint="eastAsia"/>
          <w:bCs/>
        </w:rPr>
        <w:t>”，若响应情况优于谈判要求，应作详细说明。</w:t>
      </w:r>
    </w:p>
    <w:p>
      <w:pPr>
        <w:ind w:firstLine="420" w:firstLineChars="200"/>
        <w:rPr>
          <w:bCs/>
        </w:rPr>
      </w:pPr>
      <w:r>
        <w:rPr>
          <w:rFonts w:hint="eastAsia"/>
          <w:bCs/>
        </w:rPr>
        <w:t>2.若采购文件项目需求要求提供证明材料 谈判应答人必须按采购文件要求附相关证明文件，如未提供相关证明文件的视为负偏离。</w:t>
      </w:r>
    </w:p>
    <w:p>
      <w:pPr>
        <w:ind w:firstLine="422" w:firstLineChars="200"/>
        <w:rPr>
          <w:b/>
        </w:rPr>
      </w:pPr>
      <w:r>
        <w:rPr>
          <w:rFonts w:hint="eastAsia"/>
          <w:b/>
          <w:bCs/>
        </w:rPr>
        <w:t>3.上表所列内容为不可负偏离条款，如谈判应答人该部分内容出现负偏离或未对该部分内容进行响应，将按照符合性检查表作谈判应答无效处理</w:t>
      </w:r>
      <w:r>
        <w:rPr>
          <w:rFonts w:hint="eastAsia"/>
          <w:b/>
        </w:rPr>
        <w:t>。</w:t>
      </w:r>
      <w:r>
        <w:rPr>
          <w:b/>
        </w:rPr>
        <w:br w:type="page"/>
      </w:r>
    </w:p>
    <w:p>
      <w:pPr>
        <w:numPr>
          <w:ilvl w:val="0"/>
          <w:numId w:val="20"/>
        </w:numPr>
        <w:tabs>
          <w:tab w:val="clear" w:pos="426"/>
        </w:tabs>
        <w:adjustRightInd/>
        <w:snapToGrid/>
        <w:spacing w:before="280" w:after="290" w:line="377" w:lineRule="auto"/>
        <w:ind w:left="988" w:hanging="846"/>
        <w:jc w:val="left"/>
        <w:outlineLvl w:val="2"/>
        <w:rPr>
          <w:b/>
          <w:bCs/>
          <w:sz w:val="24"/>
        </w:rPr>
      </w:pPr>
      <w:r>
        <w:rPr>
          <w:rFonts w:hint="eastAsia"/>
          <w:b/>
          <w:bCs/>
          <w:sz w:val="24"/>
        </w:rPr>
        <w:t>服务条款偏离表（实质性条款除外）</w:t>
      </w:r>
    </w:p>
    <w:p>
      <w:pPr>
        <w:widowControl w:val="0"/>
        <w:shd w:val="clear" w:color="auto" w:fill="auto"/>
        <w:tabs>
          <w:tab w:val="clear" w:pos="426"/>
        </w:tabs>
        <w:adjustRightInd/>
        <w:snapToGrid/>
        <w:spacing w:line="300" w:lineRule="auto"/>
        <w:jc w:val="center"/>
        <w:rPr>
          <w:bCs/>
          <w:sz w:val="32"/>
          <w:szCs w:val="32"/>
        </w:rPr>
      </w:pPr>
    </w:p>
    <w:p>
      <w:pPr>
        <w:widowControl w:val="0"/>
        <w:shd w:val="clear" w:color="auto" w:fill="auto"/>
        <w:tabs>
          <w:tab w:val="clear" w:pos="426"/>
        </w:tabs>
        <w:adjustRightInd/>
        <w:snapToGrid/>
        <w:spacing w:line="300" w:lineRule="auto"/>
        <w:jc w:val="center"/>
        <w:rPr>
          <w:rFonts w:cs="Times New Roman"/>
          <w:bCs/>
          <w:kern w:val="2"/>
          <w:sz w:val="28"/>
          <w:szCs w:val="28"/>
        </w:rPr>
      </w:pPr>
      <w:r>
        <w:rPr>
          <w:rFonts w:hint="eastAsia"/>
          <w:bCs/>
          <w:sz w:val="28"/>
          <w:szCs w:val="28"/>
        </w:rPr>
        <w:t>服务条款偏离表（实质性条款除外）</w:t>
      </w:r>
    </w:p>
    <w:p>
      <w:pPr>
        <w:tabs>
          <w:tab w:val="clear" w:pos="426"/>
        </w:tabs>
        <w:wordWrap w:val="0"/>
        <w:rPr>
          <w:color w:val="FF0000"/>
        </w:rPr>
      </w:pPr>
    </w:p>
    <w:p>
      <w:pPr>
        <w:tabs>
          <w:tab w:val="clear" w:pos="426"/>
        </w:tabs>
        <w:wordWrap w:val="0"/>
      </w:pPr>
      <w:r>
        <w:rPr>
          <w:rFonts w:hint="eastAsia"/>
        </w:rPr>
        <w:t>项目名称：</w:t>
      </w:r>
      <w:r>
        <w:rPr>
          <w:rFonts w:hint="eastAsia"/>
          <w:u w:val="single"/>
        </w:rPr>
        <w:t>_________________________________________</w:t>
      </w:r>
      <w:r>
        <w:rPr>
          <w:rFonts w:hint="eastAsia"/>
        </w:rPr>
        <w:t>采购项目编号：</w:t>
      </w:r>
      <w:r>
        <w:rPr>
          <w:rFonts w:hint="eastAsia" w:ascii="ˎ̥" w:hAnsi="ˎ̥"/>
          <w:sz w:val="18"/>
          <w:szCs w:val="18"/>
        </w:rPr>
        <w:t>___________________________</w:t>
      </w:r>
    </w:p>
    <w:p>
      <w:pPr>
        <w:tabs>
          <w:tab w:val="clear" w:pos="426"/>
        </w:tabs>
        <w:ind w:firstLine="424" w:firstLineChars="202"/>
        <w:rPr>
          <w:rFonts w:cs="Arial"/>
          <w:bCs/>
        </w:rPr>
      </w:pPr>
      <w:r>
        <w:rPr>
          <w:rFonts w:hint="eastAsia" w:cs="Arial"/>
          <w:bCs/>
        </w:rPr>
        <w:t>（一）据采购文件要求，我公司承诺响应如下：</w:t>
      </w:r>
    </w:p>
    <w:tbl>
      <w:tblPr>
        <w:tblStyle w:val="44"/>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587"/>
        <w:gridCol w:w="3587"/>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2" w:type="dxa"/>
            <w:vAlign w:val="center"/>
          </w:tcPr>
          <w:p>
            <w:pPr>
              <w:spacing w:line="240" w:lineRule="auto"/>
              <w:jc w:val="center"/>
              <w:rPr>
                <w:rFonts w:cs="Arial"/>
                <w:szCs w:val="21"/>
              </w:rPr>
            </w:pPr>
            <w:r>
              <w:rPr>
                <w:rFonts w:hint="eastAsia" w:cs="Arial"/>
                <w:szCs w:val="21"/>
              </w:rPr>
              <w:t>序号</w:t>
            </w:r>
          </w:p>
        </w:tc>
        <w:tc>
          <w:tcPr>
            <w:tcW w:w="3587" w:type="dxa"/>
            <w:vAlign w:val="center"/>
          </w:tcPr>
          <w:p>
            <w:pPr>
              <w:spacing w:line="240" w:lineRule="auto"/>
              <w:jc w:val="center"/>
              <w:rPr>
                <w:rFonts w:cs="Arial"/>
                <w:szCs w:val="21"/>
              </w:rPr>
            </w:pPr>
            <w:r>
              <w:rPr>
                <w:rFonts w:hint="eastAsia" w:cs="Arial"/>
                <w:szCs w:val="21"/>
              </w:rPr>
              <w:t>采购文件要求</w:t>
            </w:r>
          </w:p>
        </w:tc>
        <w:tc>
          <w:tcPr>
            <w:tcW w:w="3587" w:type="dxa"/>
            <w:vAlign w:val="center"/>
          </w:tcPr>
          <w:p>
            <w:pPr>
              <w:spacing w:line="240" w:lineRule="auto"/>
              <w:jc w:val="center"/>
              <w:rPr>
                <w:rFonts w:cs="Arial"/>
                <w:szCs w:val="21"/>
              </w:rPr>
            </w:pPr>
            <w:r>
              <w:rPr>
                <w:rFonts w:hint="eastAsia" w:cs="Arial"/>
                <w:szCs w:val="21"/>
              </w:rPr>
              <w:t>谈判应答文件响应</w:t>
            </w:r>
          </w:p>
        </w:tc>
        <w:tc>
          <w:tcPr>
            <w:tcW w:w="1820" w:type="dxa"/>
            <w:vAlign w:val="center"/>
          </w:tcPr>
          <w:p>
            <w:pPr>
              <w:spacing w:line="240" w:lineRule="auto"/>
              <w:jc w:val="center"/>
              <w:rPr>
                <w:rFonts w:cs="Arial"/>
                <w:szCs w:val="21"/>
              </w:rPr>
            </w:pPr>
            <w:r>
              <w:rPr>
                <w:rFonts w:hint="eastAsia" w:cs="Arial"/>
                <w:szCs w:val="21"/>
              </w:rPr>
              <w:t>偏离说明（符合/正偏离/负偏离）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02" w:type="dxa"/>
            <w:vAlign w:val="center"/>
          </w:tcPr>
          <w:p>
            <w:pPr>
              <w:spacing w:line="240" w:lineRule="auto"/>
              <w:jc w:val="center"/>
              <w:rPr>
                <w:rFonts w:cs="Arial"/>
                <w:szCs w:val="21"/>
              </w:rPr>
            </w:pPr>
            <w:r>
              <w:rPr>
                <w:rFonts w:hint="eastAsia" w:cs="Arial"/>
                <w:szCs w:val="21"/>
              </w:rPr>
              <w:t>1</w:t>
            </w:r>
          </w:p>
        </w:tc>
        <w:tc>
          <w:tcPr>
            <w:tcW w:w="3587" w:type="dxa"/>
            <w:vAlign w:val="center"/>
          </w:tcPr>
          <w:p>
            <w:pPr>
              <w:spacing w:line="240" w:lineRule="auto"/>
              <w:jc w:val="center"/>
              <w:rPr>
                <w:bCs/>
              </w:rPr>
            </w:pPr>
            <w:r>
              <w:rPr>
                <w:rFonts w:hint="eastAsia" w:cs="Arial"/>
              </w:rPr>
              <w:t>采购文件第三章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pPr>
              <w:spacing w:line="240" w:lineRule="auto"/>
              <w:jc w:val="center"/>
              <w:rPr>
                <w:rFonts w:cs="Arial"/>
              </w:rPr>
            </w:pPr>
            <w:r>
              <w:rPr>
                <w:rFonts w:hint="eastAsia" w:cs="Arial"/>
              </w:rPr>
              <w:t>完全满足采购文件第三章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pPr>
              <w:spacing w:line="240" w:lineRule="auto"/>
              <w:jc w:val="center"/>
              <w:rPr>
                <w:szCs w:val="21"/>
              </w:rPr>
            </w:pPr>
            <w:r>
              <w:rPr>
                <w:rFonts w:hint="eastAsia" w:cs="Arial"/>
              </w:rPr>
              <w:t>符合</w:t>
            </w:r>
          </w:p>
        </w:tc>
      </w:tr>
    </w:tbl>
    <w:p>
      <w:pPr>
        <w:rPr>
          <w:bCs/>
        </w:rPr>
      </w:pPr>
    </w:p>
    <w:p>
      <w:pPr>
        <w:tabs>
          <w:tab w:val="clear" w:pos="426"/>
        </w:tabs>
        <w:ind w:firstLine="424" w:firstLineChars="202"/>
        <w:rPr>
          <w:bCs/>
        </w:rPr>
      </w:pPr>
      <w:r>
        <w:rPr>
          <w:rFonts w:hint="eastAsia"/>
          <w:bCs/>
        </w:rPr>
        <w:t>（二）对《</w:t>
      </w:r>
      <w:r>
        <w:rPr>
          <w:rFonts w:hint="eastAsia"/>
          <w:b/>
          <w:bCs/>
          <w:sz w:val="24"/>
        </w:rPr>
        <w:t>服务条款偏离表</w:t>
      </w:r>
      <w:r>
        <w:rPr>
          <w:rFonts w:hint="eastAsia"/>
          <w:bCs/>
        </w:rPr>
        <w:t>》的补充说明</w:t>
      </w:r>
    </w:p>
    <w:p>
      <w:pPr>
        <w:tabs>
          <w:tab w:val="clear" w:pos="426"/>
        </w:tabs>
        <w:ind w:firstLine="424" w:firstLineChars="202"/>
        <w:rPr>
          <w:bCs/>
        </w:rPr>
      </w:pPr>
      <w:r>
        <w:rPr>
          <w:rFonts w:hint="eastAsia"/>
          <w:bCs/>
        </w:rPr>
        <w:t>填写表中“偏离说明”一栏的未尽内容（例如：偏离原因、解决方案等）及谈判应答人认为需要补充说明的其他内容，格式自定。</w:t>
      </w:r>
    </w:p>
    <w:p>
      <w:pPr>
        <w:rPr>
          <w:bCs/>
        </w:rPr>
      </w:pPr>
    </w:p>
    <w:p>
      <w:pPr>
        <w:rPr>
          <w:bCs/>
        </w:rPr>
      </w:pPr>
    </w:p>
    <w:p>
      <w:pPr>
        <w:tabs>
          <w:tab w:val="clear" w:pos="426"/>
        </w:tabs>
        <w:spacing w:line="500" w:lineRule="exact"/>
        <w:rPr>
          <w:u w:val="single"/>
        </w:rPr>
      </w:pPr>
      <w:r>
        <w:rPr>
          <w:rFonts w:hint="eastAsia"/>
          <w:spacing w:val="4"/>
        </w:rPr>
        <w:t>谈判应答人名称（</w:t>
      </w:r>
      <w:r>
        <w:rPr>
          <w:rFonts w:hint="eastAsia"/>
        </w:rPr>
        <w:t>单位盖</w:t>
      </w:r>
      <w:r>
        <w:rPr>
          <w:rFonts w:hint="eastAsia"/>
          <w:spacing w:val="4"/>
        </w:rPr>
        <w:t>公章）：</w:t>
      </w:r>
      <w:r>
        <w:rPr>
          <w:rFonts w:hint="eastAsia"/>
          <w:spacing w:val="4"/>
          <w:u w:val="single"/>
        </w:rPr>
        <w:t>_____________________________________________</w:t>
      </w:r>
    </w:p>
    <w:p>
      <w:pPr>
        <w:tabs>
          <w:tab w:val="clear" w:pos="426"/>
        </w:tabs>
        <w:spacing w:line="520" w:lineRule="exact"/>
      </w:pPr>
    </w:p>
    <w:p>
      <w:pPr>
        <w:tabs>
          <w:tab w:val="clear" w:pos="426"/>
        </w:tabs>
        <w:spacing w:line="520" w:lineRule="exact"/>
        <w:rPr>
          <w:spacing w:val="4"/>
        </w:rPr>
      </w:pPr>
      <w:r>
        <w:rPr>
          <w:rFonts w:hint="eastAsia"/>
        </w:rPr>
        <w:t>法定代表人或谈判应答人授权代表（签名或盖章）：</w:t>
      </w:r>
      <w:r>
        <w:rPr>
          <w:spacing w:val="4"/>
          <w:u w:val="single"/>
        </w:rPr>
        <w:t>__________</w:t>
      </w:r>
      <w:r>
        <w:rPr>
          <w:rFonts w:hint="eastAsia"/>
          <w:spacing w:val="4"/>
          <w:u w:val="single"/>
        </w:rPr>
        <w:t>_</w:t>
      </w:r>
      <w:r>
        <w:rPr>
          <w:spacing w:val="4"/>
          <w:u w:val="single"/>
        </w:rPr>
        <w:t>___</w:t>
      </w:r>
      <w:r>
        <w:rPr>
          <w:spacing w:val="4"/>
        </w:rPr>
        <w:t xml:space="preserve">  </w:t>
      </w:r>
      <w:r>
        <w:rPr>
          <w:rFonts w:hint="eastAsia"/>
          <w:spacing w:val="4"/>
        </w:rPr>
        <w:t>日期</w:t>
      </w:r>
      <w:r>
        <w:rPr>
          <w:spacing w:val="4"/>
          <w:u w:val="single"/>
        </w:rPr>
        <w:t>_________</w:t>
      </w:r>
    </w:p>
    <w:p>
      <w:pPr>
        <w:rPr>
          <w:bCs/>
        </w:rPr>
      </w:pPr>
    </w:p>
    <w:p>
      <w:pPr>
        <w:rPr>
          <w:bCs/>
        </w:rPr>
      </w:pPr>
      <w:r>
        <w:rPr>
          <w:rFonts w:hint="eastAsia"/>
          <w:bCs/>
        </w:rPr>
        <w:t>填写说明：</w:t>
      </w:r>
    </w:p>
    <w:p>
      <w:pPr>
        <w:ind w:firstLine="420" w:firstLineChars="200"/>
        <w:rPr>
          <w:bCs/>
        </w:rPr>
      </w:pPr>
      <w:r>
        <w:rPr>
          <w:rFonts w:hint="eastAsia"/>
          <w:bCs/>
        </w:rPr>
        <w:t>1.上述表格，若谈判应答人项目需求条款无偏离，“采购文件要求”栏填写“</w:t>
      </w:r>
      <w:r>
        <w:rPr>
          <w:rFonts w:hint="eastAsia" w:cs="Arial"/>
        </w:rPr>
        <w:t>采购文件第三章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”、“谈判应答文件响应”栏填写“</w:t>
      </w:r>
      <w:r>
        <w:rPr>
          <w:rFonts w:hint="eastAsia" w:cs="Arial"/>
        </w:rPr>
        <w:t>完全满足采购文件第三章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pPr>
        <w:ind w:firstLine="420" w:firstLineChars="200"/>
        <w:rPr>
          <w:bCs/>
        </w:rPr>
      </w:pPr>
      <w:r>
        <w:rPr>
          <w:rFonts w:hint="eastAsia"/>
          <w:bCs/>
        </w:rPr>
        <w:t>2.若响应情况优于谈判要求，应作详细说明。“偏离情况”栏中根据响应情况填写，达到要求的填“</w:t>
      </w:r>
      <w:r>
        <w:rPr>
          <w:rFonts w:hint="eastAsia" w:cs="Arial"/>
          <w:bCs/>
        </w:rPr>
        <w:t>符合</w:t>
      </w:r>
      <w:r>
        <w:rPr>
          <w:rFonts w:hint="eastAsia"/>
          <w:bCs/>
        </w:rPr>
        <w:t>”，优于要求的填“</w:t>
      </w:r>
      <w:r>
        <w:rPr>
          <w:rFonts w:hint="eastAsia" w:cs="Arial"/>
          <w:bCs/>
        </w:rPr>
        <w:t>正偏离</w:t>
      </w:r>
      <w:r>
        <w:rPr>
          <w:rFonts w:hint="eastAsia"/>
          <w:bCs/>
        </w:rPr>
        <w:t>”没有达到要求的填“</w:t>
      </w:r>
      <w:r>
        <w:rPr>
          <w:rFonts w:hint="eastAsia" w:cs="Arial"/>
          <w:bCs/>
        </w:rPr>
        <w:t>负偏离</w:t>
      </w:r>
      <w:r>
        <w:rPr>
          <w:rFonts w:hint="eastAsia"/>
          <w:bCs/>
        </w:rPr>
        <w:t>”。</w:t>
      </w:r>
    </w:p>
    <w:p>
      <w:pPr>
        <w:ind w:right="84" w:rightChars="40" w:firstLine="420" w:firstLineChars="200"/>
        <w:rPr>
          <w:bCs/>
        </w:rPr>
      </w:pPr>
      <w:r>
        <w:rPr>
          <w:rFonts w:hint="eastAsia"/>
          <w:bCs/>
        </w:rPr>
        <w:t>3.若采购文件项目需求要求提供证明材料 谈判应答人必须按采购文件要求附相关证明文件，如未提供相关证明文件的视为负偏离。</w:t>
      </w:r>
    </w:p>
    <w:p>
      <w:pPr>
        <w:ind w:right="84" w:rightChars="40" w:firstLine="420" w:firstLineChars="200"/>
        <w:rPr>
          <w:bCs/>
        </w:rPr>
      </w:pPr>
      <w:r>
        <w:rPr>
          <w:rFonts w:hint="eastAsia"/>
          <w:bCs/>
        </w:rPr>
        <w:t>4.本偏离表负偏离不得导致谈判应答无效。</w:t>
      </w:r>
    </w:p>
    <w:p>
      <w:pPr>
        <w:ind w:firstLine="422" w:firstLineChars="200"/>
        <w:rPr>
          <w:b/>
        </w:rPr>
      </w:pPr>
    </w:p>
    <w:p>
      <w:pPr>
        <w:ind w:firstLine="422" w:firstLineChars="200"/>
        <w:rPr>
          <w:b/>
        </w:rPr>
      </w:pPr>
    </w:p>
    <w:p>
      <w:pPr>
        <w:ind w:firstLine="422" w:firstLineChars="200"/>
        <w:rPr>
          <w:b/>
        </w:rPr>
      </w:pPr>
    </w:p>
    <w:p>
      <w:pPr>
        <w:ind w:firstLine="422" w:firstLineChars="200"/>
        <w:rPr>
          <w:b/>
        </w:rPr>
      </w:pPr>
    </w:p>
    <w:p>
      <w:pPr>
        <w:numPr>
          <w:ilvl w:val="0"/>
          <w:numId w:val="20"/>
        </w:numPr>
        <w:tabs>
          <w:tab w:val="clear" w:pos="426"/>
        </w:tabs>
        <w:adjustRightInd/>
        <w:snapToGrid/>
        <w:spacing w:before="280" w:after="290" w:line="377" w:lineRule="auto"/>
        <w:ind w:left="988" w:firstLine="354"/>
        <w:jc w:val="left"/>
        <w:outlineLvl w:val="2"/>
        <w:rPr>
          <w:b/>
          <w:bCs/>
          <w:sz w:val="24"/>
        </w:rPr>
      </w:pPr>
      <w:r>
        <w:rPr>
          <w:rFonts w:hint="eastAsia"/>
          <w:b/>
          <w:bCs/>
          <w:sz w:val="24"/>
        </w:rPr>
        <w:t>项目实施方案</w:t>
      </w:r>
    </w:p>
    <w:p>
      <w:pPr>
        <w:spacing w:line="520" w:lineRule="exact"/>
        <w:ind w:firstLine="354" w:firstLineChars="147"/>
        <w:rPr>
          <w:b/>
          <w:bCs/>
          <w:sz w:val="24"/>
        </w:rPr>
      </w:pPr>
      <w:r>
        <w:rPr>
          <w:b/>
          <w:bCs/>
          <w:sz w:val="24"/>
        </w:rPr>
        <w:br w:type="page"/>
      </w:r>
    </w:p>
    <w:p>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t>优惠政策声明函等证明文件（可选）</w:t>
      </w:r>
    </w:p>
    <w:p>
      <w:pPr>
        <w:shd w:val="clear" w:color="auto" w:fill="auto"/>
        <w:tabs>
          <w:tab w:val="clear" w:pos="426"/>
        </w:tabs>
        <w:adjustRightInd/>
        <w:snapToGrid/>
        <w:spacing w:line="240" w:lineRule="auto"/>
        <w:jc w:val="left"/>
        <w:rPr>
          <w:szCs w:val="21"/>
        </w:rPr>
      </w:pPr>
    </w:p>
    <w:p>
      <w:pPr>
        <w:spacing w:line="400" w:lineRule="exact"/>
      </w:pPr>
      <w:r>
        <w:rPr>
          <w:rFonts w:hint="eastAsia"/>
        </w:rPr>
        <w:t>填写指引：</w:t>
      </w:r>
    </w:p>
    <w:p>
      <w:pPr>
        <w:spacing w:line="400" w:lineRule="exact"/>
      </w:pPr>
      <w:r>
        <w:t xml:space="preserve">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 </w:t>
      </w:r>
    </w:p>
    <w:p>
      <w:pPr>
        <w:spacing w:line="400" w:lineRule="exact"/>
      </w:pPr>
      <w:r>
        <w:t>2.该部分内容填写需要参考的相关文件：</w:t>
      </w:r>
    </w:p>
    <w:p>
      <w:pPr>
        <w:spacing w:line="400" w:lineRule="exact"/>
      </w:pPr>
      <w:r>
        <w:rPr>
          <w:rFonts w:hint="eastAsia"/>
        </w:rPr>
        <w:t>（</w:t>
      </w:r>
      <w:r>
        <w:t>1）《关于印发〈政府采购促进中小企业发展管理办法〉的通知》（财库〔2020〕46号）；</w:t>
      </w:r>
    </w:p>
    <w:p>
      <w:pPr>
        <w:spacing w:line="400" w:lineRule="exact"/>
      </w:pPr>
      <w:r>
        <w:rPr>
          <w:rFonts w:hint="eastAsia"/>
        </w:rPr>
        <w:t>（</w:t>
      </w:r>
      <w:r>
        <w:t>2）《工业和信息化部、国家统计局、国家发展和改革委员会、财政部关于印发中小企业划型标准规定的通知》（工信部联企业〔2011〕300号）；</w:t>
      </w:r>
    </w:p>
    <w:p>
      <w:pPr>
        <w:spacing w:line="400" w:lineRule="exact"/>
      </w:pPr>
      <w:r>
        <w:rPr>
          <w:rFonts w:hint="eastAsia"/>
        </w:rPr>
        <w:t>（</w:t>
      </w:r>
      <w:r>
        <w:t>3）《关于印发〈统计上大中小微型企业划分办法（2017）〉的通知》；</w:t>
      </w:r>
    </w:p>
    <w:p>
      <w:pPr>
        <w:spacing w:line="400" w:lineRule="exact"/>
      </w:pPr>
      <w:r>
        <w:rPr>
          <w:rFonts w:hint="eastAsia"/>
        </w:rPr>
        <w:t>（</w:t>
      </w:r>
      <w:r>
        <w:t xml:space="preserve">4）《关于促进残疾人就业政府采购政策的通知》（财库〔2017〕141号）。 </w:t>
      </w:r>
    </w:p>
    <w:p>
      <w:pPr>
        <w:spacing w:line="400" w:lineRule="exact"/>
      </w:pPr>
      <w:r>
        <w:t xml:space="preserve">3.请依照提供的格式和内容填写声明函，不要随意变更格式或增删内容；满足多项优惠政策的企业，不重复享受多项价格扣除政策。 </w:t>
      </w:r>
    </w:p>
    <w:p>
      <w:pPr>
        <w:spacing w:line="400" w:lineRule="exact"/>
      </w:pPr>
      <w:r>
        <w:t>4.声明函的有效性最终由评审委员会判定；如评审委员会判定声明函无效，相关供应商不享受价格扣除（但不作</w:t>
      </w:r>
      <w:r>
        <w:rPr>
          <w:rFonts w:hint="eastAsia"/>
        </w:rPr>
        <w:t>应答</w:t>
      </w:r>
      <w:r>
        <w:t>无效处理）。</w:t>
      </w:r>
    </w:p>
    <w:p>
      <w:pPr>
        <w:spacing w:line="400" w:lineRule="exact"/>
      </w:pPr>
    </w:p>
    <w:p>
      <w:pPr>
        <w:shd w:val="clear" w:color="auto" w:fill="auto"/>
        <w:adjustRightInd/>
        <w:snapToGrid/>
        <w:spacing w:line="240" w:lineRule="auto"/>
        <w:jc w:val="left"/>
      </w:pPr>
      <w:r>
        <w:br w:type="page"/>
      </w:r>
    </w:p>
    <w:p>
      <w:pPr>
        <w:spacing w:line="240" w:lineRule="auto"/>
        <w:ind w:firstLine="643" w:firstLineChars="200"/>
        <w:jc w:val="center"/>
        <w:rPr>
          <w:b/>
          <w:sz w:val="32"/>
          <w:szCs w:val="32"/>
        </w:rPr>
      </w:pPr>
      <w:r>
        <w:rPr>
          <w:rFonts w:hint="eastAsia"/>
          <w:b/>
          <w:sz w:val="32"/>
          <w:szCs w:val="32"/>
        </w:rPr>
        <w:t>（一）中小企业声明函（样表）</w:t>
      </w:r>
    </w:p>
    <w:p>
      <w:pPr>
        <w:spacing w:line="240" w:lineRule="auto"/>
        <w:jc w:val="left"/>
        <w:rPr>
          <w:szCs w:val="21"/>
        </w:rPr>
      </w:pPr>
    </w:p>
    <w:p>
      <w:pPr>
        <w:spacing w:line="240" w:lineRule="auto"/>
        <w:ind w:firstLine="420" w:firstLineChars="200"/>
        <w:jc w:val="left"/>
        <w:rPr>
          <w:szCs w:val="21"/>
        </w:rPr>
      </w:pPr>
      <w:r>
        <w:rPr>
          <w:rFonts w:hint="eastAsia"/>
          <w:szCs w:val="21"/>
        </w:rPr>
        <w:t>本公司已知悉《政府采购促进中小企业发展管理办法》（财库〔</w:t>
      </w:r>
      <w:r>
        <w:rPr>
          <w:szCs w:val="21"/>
        </w:rPr>
        <w:t>2020〕46号）、《中小企业划型标准规定》（工信部联企〔2011〕300号）、《统计上大中小微型企业划分办法（2017）》等规定，承诺提供的声明函内容是真实的，并知悉根据《政府采购促进中小企业发展管理办法》（财库〔2020〕46号）第二十条规定，供应商按照本办法规定提供声明函内容不实的，属于提供虚假材料谋取成交、成交，依照《政府采购法》等政府采购有关法律法规规定追究相应责任</w:t>
      </w:r>
      <w:r>
        <w:rPr>
          <w:rFonts w:hint="eastAsia"/>
          <w:szCs w:val="21"/>
        </w:rPr>
        <w:t>。</w:t>
      </w:r>
    </w:p>
    <w:p>
      <w:pPr>
        <w:spacing w:line="240" w:lineRule="auto"/>
        <w:ind w:firstLine="420" w:firstLineChars="200"/>
        <w:jc w:val="left"/>
        <w:rPr>
          <w:szCs w:val="21"/>
        </w:rPr>
      </w:pPr>
      <w:r>
        <w:rPr>
          <w:rFonts w:hint="eastAsia"/>
          <w:szCs w:val="21"/>
        </w:rPr>
        <w:t>本公司郑重声明，根据《关于印发</w:t>
      </w:r>
      <w:r>
        <w:rPr>
          <w:szCs w:val="21"/>
        </w:rPr>
        <w:t>&lt;政府采购促进中小企业发展管理办法&gt;的通知》（财库〔2020〕46号）的规定，本公司（联合体）参加(采购单位名称全称)的（项目名称全称）采购活动，________________________（填写说明：货物类：提供的货物全部由符合政策要求的中小企业制造。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jc w:val="left"/>
        <w:rPr>
          <w:szCs w:val="21"/>
        </w:rPr>
      </w:pPr>
      <w:r>
        <w:rPr>
          <w:szCs w:val="21"/>
        </w:rPr>
        <w:t>1.（标的名称），属于（采购文件中明确的所属行业）；承建（承接）企业为（企业名称），从业人员____人，营业收入为____万元，资产总额为____万元1，属于（中型企业、小型企业、微型企业）；</w:t>
      </w:r>
    </w:p>
    <w:p>
      <w:pPr>
        <w:spacing w:line="240" w:lineRule="auto"/>
        <w:ind w:firstLine="420" w:firstLineChars="200"/>
        <w:jc w:val="left"/>
        <w:rPr>
          <w:szCs w:val="21"/>
        </w:rPr>
      </w:pPr>
      <w:r>
        <w:rPr>
          <w:szCs w:val="21"/>
        </w:rPr>
        <w:t>2.（标的名称），属于（采购文件中明确的所属行业）；承建（承接）企业为（企业名称），从业人员____人，营业收入为____万元，资产总额为____万元，属于（中型企业、小型企业、微型企业）；</w:t>
      </w:r>
    </w:p>
    <w:p>
      <w:pPr>
        <w:spacing w:line="240" w:lineRule="auto"/>
        <w:ind w:firstLine="420" w:firstLineChars="200"/>
        <w:jc w:val="left"/>
        <w:rPr>
          <w:szCs w:val="21"/>
        </w:rPr>
      </w:pPr>
      <w:r>
        <w:rPr>
          <w:rFonts w:hint="eastAsia"/>
          <w:szCs w:val="21"/>
        </w:rPr>
        <w:t>……</w:t>
      </w:r>
    </w:p>
    <w:p>
      <w:pPr>
        <w:spacing w:line="240" w:lineRule="auto"/>
        <w:ind w:firstLine="420" w:firstLineChars="200"/>
        <w:jc w:val="left"/>
        <w:rPr>
          <w:szCs w:val="21"/>
        </w:rPr>
      </w:pPr>
      <w:r>
        <w:rPr>
          <w:rFonts w:hint="eastAsia"/>
          <w:szCs w:val="21"/>
        </w:rPr>
        <w:t>以上企业，不属于大企业的分支机构，不存在控股股东为大企业的情形，也不存在与大企业的负责人为同一人的情形。</w:t>
      </w:r>
    </w:p>
    <w:p>
      <w:pPr>
        <w:spacing w:line="240" w:lineRule="auto"/>
        <w:ind w:firstLine="420" w:firstLineChars="200"/>
        <w:jc w:val="left"/>
        <w:rPr>
          <w:szCs w:val="21"/>
        </w:rPr>
      </w:pPr>
      <w:r>
        <w:rPr>
          <w:rFonts w:hint="eastAsia"/>
          <w:szCs w:val="21"/>
        </w:rPr>
        <w:t>本企业对上述声明内容的真实性负责。如有虚假，将依法承担相应责任。</w:t>
      </w:r>
    </w:p>
    <w:p>
      <w:pPr>
        <w:spacing w:line="240" w:lineRule="auto"/>
        <w:ind w:firstLine="420" w:firstLineChars="200"/>
        <w:jc w:val="left"/>
        <w:rPr>
          <w:szCs w:val="21"/>
        </w:rPr>
      </w:pPr>
    </w:p>
    <w:p>
      <w:pPr>
        <w:spacing w:line="240" w:lineRule="auto"/>
        <w:ind w:firstLine="420" w:firstLineChars="200"/>
        <w:jc w:val="left"/>
        <w:rPr>
          <w:szCs w:val="21"/>
        </w:rPr>
      </w:pPr>
      <w:r>
        <w:rPr>
          <w:rFonts w:hint="eastAsia"/>
          <w:szCs w:val="21"/>
        </w:rPr>
        <w:t>企业名称（盖章）：</w:t>
      </w:r>
    </w:p>
    <w:p>
      <w:pPr>
        <w:spacing w:line="240" w:lineRule="auto"/>
        <w:ind w:firstLine="420" w:firstLineChars="200"/>
        <w:jc w:val="left"/>
        <w:rPr>
          <w:szCs w:val="21"/>
        </w:rPr>
      </w:pPr>
      <w:r>
        <w:rPr>
          <w:rFonts w:hint="eastAsia"/>
          <w:szCs w:val="21"/>
        </w:rPr>
        <w:t>日期：</w:t>
      </w:r>
    </w:p>
    <w:p>
      <w:pPr>
        <w:spacing w:line="240" w:lineRule="auto"/>
        <w:ind w:firstLine="420" w:firstLineChars="200"/>
        <w:jc w:val="left"/>
        <w:rPr>
          <w:szCs w:val="21"/>
        </w:rPr>
      </w:pPr>
    </w:p>
    <w:p>
      <w:pPr>
        <w:spacing w:line="240" w:lineRule="auto"/>
        <w:ind w:firstLine="420" w:firstLineChars="200"/>
        <w:jc w:val="left"/>
        <w:rPr>
          <w:szCs w:val="21"/>
        </w:rPr>
      </w:pPr>
      <w:r>
        <w:rPr>
          <w:rFonts w:hint="eastAsia"/>
          <w:szCs w:val="21"/>
        </w:rPr>
        <w:t>备注：</w:t>
      </w:r>
      <w:r>
        <w:rPr>
          <w:szCs w:val="21"/>
        </w:rPr>
        <w:t>1、从业人员、营业收入、资产总额填报上一年度数据，无上一年度数据的新成立企业可不填报。</w:t>
      </w: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643" w:firstLineChars="200"/>
        <w:jc w:val="center"/>
        <w:rPr>
          <w:b/>
          <w:sz w:val="32"/>
          <w:szCs w:val="32"/>
        </w:rPr>
      </w:pPr>
    </w:p>
    <w:p>
      <w:pPr>
        <w:spacing w:line="240" w:lineRule="auto"/>
        <w:ind w:firstLine="643" w:firstLineChars="200"/>
        <w:jc w:val="center"/>
        <w:rPr>
          <w:b/>
          <w:sz w:val="32"/>
          <w:szCs w:val="32"/>
        </w:rPr>
      </w:pPr>
      <w:r>
        <w:rPr>
          <w:rFonts w:hint="eastAsia"/>
          <w:b/>
          <w:sz w:val="32"/>
          <w:szCs w:val="32"/>
        </w:rPr>
        <w:t>（</w:t>
      </w:r>
      <w:r>
        <w:rPr>
          <w:b/>
          <w:sz w:val="32"/>
          <w:szCs w:val="32"/>
        </w:rPr>
        <w:t>二</w:t>
      </w:r>
      <w:r>
        <w:rPr>
          <w:rFonts w:hint="eastAsia"/>
          <w:b/>
          <w:sz w:val="32"/>
          <w:szCs w:val="32"/>
        </w:rPr>
        <w:t>）残疾人福利性单位声明函（样表）</w:t>
      </w:r>
    </w:p>
    <w:p>
      <w:pPr>
        <w:spacing w:line="240" w:lineRule="auto"/>
        <w:ind w:firstLine="420" w:firstLineChars="200"/>
        <w:rPr>
          <w:szCs w:val="21"/>
        </w:rPr>
      </w:pPr>
    </w:p>
    <w:p>
      <w:pPr>
        <w:spacing w:line="240" w:lineRule="auto"/>
        <w:ind w:firstLine="420" w:firstLineChars="200"/>
        <w:rPr>
          <w:szCs w:val="21"/>
        </w:rPr>
      </w:pPr>
      <w:r>
        <w:rPr>
          <w:rFonts w:hint="eastAsia"/>
          <w:szCs w:val="21"/>
        </w:rPr>
        <w:t>本单位已知悉《关于促进残疾人就业政府采购政策的通知》（财库〔</w:t>
      </w:r>
      <w:r>
        <w:rPr>
          <w:szCs w:val="21"/>
        </w:rPr>
        <w:t>2017〕141号）的规定，承诺提供的声明函内容是真实的，如提供声明函内容不实，则依法追究相关法律责任。</w:t>
      </w:r>
    </w:p>
    <w:p>
      <w:pPr>
        <w:spacing w:line="240" w:lineRule="auto"/>
        <w:ind w:firstLine="420" w:firstLineChars="200"/>
        <w:rPr>
          <w:szCs w:val="21"/>
        </w:rPr>
      </w:pPr>
      <w:r>
        <w:rPr>
          <w:rFonts w:hint="eastAsia"/>
          <w:szCs w:val="21"/>
        </w:rPr>
        <w:t>本单位郑重声明，根据《财政部民政部中国残疾人联合会关于促进残疾人就业政府采购政策的通知》（财库〔</w:t>
      </w:r>
      <w:r>
        <w:rPr>
          <w:szCs w:val="21"/>
        </w:rPr>
        <w:t>2017〕141</w:t>
      </w:r>
      <w:r>
        <w:rPr>
          <w:szCs w:val="21"/>
          <w:u w:val="single"/>
        </w:rPr>
        <w:t>_</w:t>
      </w:r>
      <w:r>
        <w:rPr>
          <w:rFonts w:hint="eastAsia"/>
          <w:szCs w:val="21"/>
        </w:rPr>
        <w:t>号）的规定，本单位为符合条件的残疾人福利性单位，且本单位参加</w:t>
      </w:r>
      <w:r>
        <w:rPr>
          <w:szCs w:val="21"/>
          <w:u w:val="single"/>
        </w:rPr>
        <w:t>_</w:t>
      </w:r>
      <w:r>
        <w:rPr>
          <w:szCs w:val="21"/>
        </w:rPr>
        <w:t>（采购单位名称）</w:t>
      </w:r>
      <w:r>
        <w:rPr>
          <w:szCs w:val="21"/>
          <w:u w:val="single"/>
        </w:rPr>
        <w:t>_</w:t>
      </w:r>
      <w:r>
        <w:rPr>
          <w:szCs w:val="21"/>
        </w:rPr>
        <w:t>单位的</w:t>
      </w:r>
      <w:r>
        <w:rPr>
          <w:szCs w:val="21"/>
          <w:u w:val="single"/>
        </w:rPr>
        <w:t>_</w:t>
      </w:r>
      <w:r>
        <w:rPr>
          <w:szCs w:val="21"/>
        </w:rPr>
        <w:t>（采购项目名称）项目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szCs w:val="21"/>
        </w:rPr>
      </w:pPr>
      <w:r>
        <w:rPr>
          <w:rFonts w:hint="eastAsia"/>
          <w:szCs w:val="21"/>
        </w:rPr>
        <w:t>单位名称（盖章）：</w:t>
      </w:r>
      <w:r>
        <w:rPr>
          <w:szCs w:val="21"/>
          <w:u w:val="single"/>
        </w:rPr>
        <w:t>__________________</w:t>
      </w:r>
    </w:p>
    <w:p>
      <w:pPr>
        <w:spacing w:line="240" w:lineRule="auto"/>
        <w:ind w:firstLine="420" w:firstLineChars="200"/>
        <w:jc w:val="right"/>
        <w:rPr>
          <w:szCs w:val="21"/>
        </w:rPr>
      </w:pPr>
      <w:r>
        <w:rPr>
          <w:rFonts w:hint="eastAsia"/>
          <w:szCs w:val="21"/>
        </w:rPr>
        <w:t>日期：</w:t>
      </w:r>
      <w:r>
        <w:rPr>
          <w:szCs w:val="21"/>
          <w:u w:val="single"/>
        </w:rPr>
        <w:t>_________________</w:t>
      </w:r>
      <w:r>
        <w:rPr>
          <w:b/>
          <w:sz w:val="32"/>
          <w:szCs w:val="32"/>
        </w:rPr>
        <w:br w:type="page"/>
      </w:r>
    </w:p>
    <w:p>
      <w:pPr>
        <w:spacing w:line="240" w:lineRule="auto"/>
        <w:ind w:firstLine="643" w:firstLineChars="200"/>
        <w:jc w:val="center"/>
        <w:rPr>
          <w:b/>
          <w:sz w:val="32"/>
          <w:szCs w:val="32"/>
        </w:rPr>
      </w:pPr>
    </w:p>
    <w:p>
      <w:pPr>
        <w:spacing w:line="240" w:lineRule="auto"/>
        <w:ind w:firstLine="643" w:firstLineChars="200"/>
        <w:jc w:val="center"/>
        <w:rPr>
          <w:rFonts w:ascii="Times New Roman" w:hAnsi="Times New Roman"/>
          <w:b/>
          <w:sz w:val="32"/>
          <w:szCs w:val="32"/>
        </w:rPr>
      </w:pPr>
      <w:r>
        <w:rPr>
          <w:rFonts w:hint="eastAsia"/>
          <w:b/>
          <w:sz w:val="32"/>
          <w:szCs w:val="32"/>
        </w:rPr>
        <w:t>（</w:t>
      </w:r>
      <w:r>
        <w:rPr>
          <w:b/>
          <w:sz w:val="32"/>
          <w:szCs w:val="32"/>
        </w:rPr>
        <w:t>三</w:t>
      </w:r>
      <w:r>
        <w:rPr>
          <w:rFonts w:hint="eastAsia"/>
          <w:b/>
          <w:sz w:val="32"/>
          <w:szCs w:val="32"/>
        </w:rPr>
        <w:t>）省级以上监狱管理局、戒毒管理局（含新疆生产建设兵团）出具的属于监狱企业的证明文件（样表）</w:t>
      </w:r>
    </w:p>
    <w:p>
      <w:pPr>
        <w:spacing w:line="240" w:lineRule="auto"/>
        <w:ind w:firstLine="420" w:firstLineChars="200"/>
        <w:rPr>
          <w:szCs w:val="21"/>
        </w:rPr>
      </w:pPr>
    </w:p>
    <w:p>
      <w:pPr>
        <w:spacing w:line="240" w:lineRule="auto"/>
        <w:ind w:firstLine="420" w:firstLineChars="200"/>
        <w:rPr>
          <w:szCs w:val="21"/>
        </w:rPr>
      </w:pPr>
      <w:r>
        <w:rPr>
          <w:rFonts w:hint="eastAsia"/>
          <w:szCs w:val="21"/>
        </w:rPr>
        <w:t>本单位已知悉《财政部司法部关于政府采购支持监狱企业发展有关问题的通知》（财库〔</w:t>
      </w:r>
      <w:r>
        <w:rPr>
          <w:szCs w:val="21"/>
        </w:rPr>
        <w:t>2014〕68号）的规定，承诺提供的声明函内容是真实的，如提供声明函内容不实，则依法追究相关法律责任。</w:t>
      </w:r>
    </w:p>
    <w:p>
      <w:pPr>
        <w:spacing w:line="240" w:lineRule="auto"/>
        <w:ind w:firstLine="420" w:firstLineChars="200"/>
        <w:rPr>
          <w:szCs w:val="21"/>
        </w:rPr>
      </w:pPr>
      <w:r>
        <w:rPr>
          <w:rFonts w:hint="eastAsia"/>
          <w:szCs w:val="21"/>
        </w:rPr>
        <w:t>本单位郑重声明，根据《财政部司法部关于政府采购支持监狱企业发展有关问题的通知》（财库〔</w:t>
      </w:r>
      <w:r>
        <w:rPr>
          <w:szCs w:val="21"/>
        </w:rPr>
        <w:t>2014〕68号）的规定，本单位为符合条件的监狱企业，且本单位参加</w:t>
      </w:r>
      <w:r>
        <w:rPr>
          <w:szCs w:val="21"/>
          <w:u w:val="single"/>
        </w:rPr>
        <w:t>_</w:t>
      </w:r>
      <w:r>
        <w:rPr>
          <w:szCs w:val="21"/>
        </w:rPr>
        <w:t>（采购单位名称）</w:t>
      </w:r>
      <w:r>
        <w:rPr>
          <w:szCs w:val="21"/>
          <w:u w:val="single"/>
        </w:rPr>
        <w:t>_</w:t>
      </w:r>
      <w:r>
        <w:rPr>
          <w:szCs w:val="21"/>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spacing w:line="240" w:lineRule="auto"/>
        <w:ind w:firstLine="420" w:firstLineChars="200"/>
        <w:rPr>
          <w:szCs w:val="21"/>
        </w:rPr>
      </w:pPr>
      <w:r>
        <w:rPr>
          <w:rFonts w:hint="eastAsia"/>
          <w:szCs w:val="21"/>
        </w:rPr>
        <w:t>本单位对上述声明的真实性负责。如有虚假，将依法承担相应责任。</w:t>
      </w:r>
    </w:p>
    <w:p>
      <w:pPr>
        <w:spacing w:line="240" w:lineRule="auto"/>
        <w:ind w:firstLine="420" w:firstLineChars="200"/>
        <w:rPr>
          <w:szCs w:val="21"/>
        </w:rPr>
      </w:pPr>
      <w:r>
        <w:rPr>
          <w:rFonts w:hint="eastAsia"/>
          <w:szCs w:val="21"/>
        </w:rPr>
        <w:t>附：省级以上监狱管理局、戒毒管理局（含新疆生产建设兵团）出具的监狱企业证明文件。</w:t>
      </w:r>
    </w:p>
    <w:p>
      <w:pPr>
        <w:spacing w:line="240" w:lineRule="auto"/>
        <w:ind w:firstLine="420" w:firstLineChars="200"/>
        <w:jc w:val="right"/>
        <w:rPr>
          <w:szCs w:val="21"/>
        </w:rPr>
      </w:pPr>
      <w:r>
        <w:rPr>
          <w:rFonts w:hint="eastAsia"/>
          <w:szCs w:val="21"/>
        </w:rPr>
        <w:t>单位名称（盖章）：</w:t>
      </w:r>
      <w:r>
        <w:rPr>
          <w:szCs w:val="21"/>
          <w:u w:val="single"/>
        </w:rPr>
        <w:t>__________________</w:t>
      </w:r>
    </w:p>
    <w:p>
      <w:pPr>
        <w:spacing w:line="240" w:lineRule="auto"/>
        <w:ind w:firstLine="420" w:firstLineChars="200"/>
        <w:jc w:val="right"/>
        <w:rPr>
          <w:szCs w:val="21"/>
        </w:rPr>
      </w:pPr>
      <w:r>
        <w:rPr>
          <w:rFonts w:hint="eastAsia"/>
          <w:szCs w:val="21"/>
        </w:rPr>
        <w:t>日期：</w:t>
      </w:r>
      <w:r>
        <w:rPr>
          <w:szCs w:val="21"/>
          <w:u w:val="single"/>
        </w:rPr>
        <w:t>_________________</w:t>
      </w: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420" w:firstLineChars="200"/>
        <w:jc w:val="right"/>
        <w:rPr>
          <w:szCs w:val="21"/>
        </w:rPr>
      </w:pPr>
    </w:p>
    <w:p>
      <w:pPr>
        <w:spacing w:line="240" w:lineRule="auto"/>
        <w:ind w:firstLine="643" w:firstLineChars="200"/>
        <w:jc w:val="center"/>
        <w:rPr>
          <w:b/>
          <w:sz w:val="32"/>
          <w:szCs w:val="32"/>
        </w:rPr>
      </w:pPr>
      <w:r>
        <w:rPr>
          <w:rFonts w:hint="eastAsia"/>
          <w:b/>
          <w:sz w:val="32"/>
          <w:szCs w:val="32"/>
        </w:rPr>
        <w:t>（</w:t>
      </w:r>
      <w:r>
        <w:rPr>
          <w:b/>
          <w:sz w:val="32"/>
          <w:szCs w:val="32"/>
        </w:rPr>
        <w:t>四</w:t>
      </w:r>
      <w:r>
        <w:rPr>
          <w:rFonts w:hint="eastAsia"/>
          <w:b/>
          <w:sz w:val="32"/>
          <w:szCs w:val="32"/>
        </w:rPr>
        <w:t>）含有小型、微型企业的联合体声明函（样表）</w:t>
      </w:r>
    </w:p>
    <w:p>
      <w:pPr>
        <w:spacing w:line="240" w:lineRule="auto"/>
        <w:ind w:firstLine="420" w:firstLineChars="200"/>
        <w:rPr>
          <w:szCs w:val="21"/>
        </w:rPr>
      </w:pPr>
    </w:p>
    <w:p>
      <w:pPr>
        <w:spacing w:line="240" w:lineRule="auto"/>
        <w:ind w:firstLine="420" w:firstLineChars="200"/>
        <w:rPr>
          <w:szCs w:val="21"/>
        </w:rPr>
      </w:pPr>
      <w:r>
        <w:rPr>
          <w:szCs w:val="21"/>
        </w:rPr>
        <w:t>1.</w:t>
      </w:r>
      <w:r>
        <w:rPr>
          <w:szCs w:val="21"/>
          <w:u w:val="single"/>
        </w:rPr>
        <w:t>___</w:t>
      </w:r>
      <w:r>
        <w:rPr>
          <w:rFonts w:hint="eastAsia"/>
          <w:szCs w:val="21"/>
        </w:rPr>
        <w:t>（供应商名称、供应商名称）</w:t>
      </w:r>
      <w:r>
        <w:rPr>
          <w:szCs w:val="21"/>
          <w:u w:val="single"/>
        </w:rPr>
        <w:t>____</w:t>
      </w:r>
      <w:r>
        <w:rPr>
          <w:rFonts w:hint="eastAsia"/>
          <w:szCs w:val="21"/>
        </w:rPr>
        <w:t>共同组成联合体（详见联合体协议）。根据《工业和信息化部、国家统计局、国家发展和改革委员会、财政部关于印发中小企业划型标准规定的通知》（工信部联企业〔</w:t>
      </w:r>
      <w:r>
        <w:rPr>
          <w:szCs w:val="21"/>
        </w:rPr>
        <w:t>2011</w:t>
      </w:r>
      <w:r>
        <w:rPr>
          <w:rFonts w:hint="eastAsia"/>
          <w:szCs w:val="21"/>
        </w:rPr>
        <w:t>〕</w:t>
      </w:r>
      <w:r>
        <w:rPr>
          <w:szCs w:val="21"/>
        </w:rPr>
        <w:t>300</w:t>
      </w:r>
      <w:r>
        <w:rPr>
          <w:szCs w:val="21"/>
          <w:u w:val="single"/>
        </w:rPr>
        <w:t>_</w:t>
      </w:r>
      <w:r>
        <w:rPr>
          <w:rFonts w:hint="eastAsia"/>
          <w:szCs w:val="21"/>
        </w:rPr>
        <w:t>号）规定的划分标准，本联合体中：□</w:t>
      </w:r>
      <w:r>
        <w:rPr>
          <w:szCs w:val="21"/>
          <w:u w:val="single"/>
        </w:rPr>
        <w:t>______</w:t>
      </w:r>
      <w:r>
        <w:rPr>
          <w:rFonts w:hint="eastAsia"/>
          <w:szCs w:val="21"/>
        </w:rPr>
        <w:t>单位为</w:t>
      </w:r>
      <w:r>
        <w:rPr>
          <w:szCs w:val="21"/>
          <w:u w:val="single"/>
        </w:rPr>
        <w:t>______</w:t>
      </w:r>
      <w:r>
        <w:rPr>
          <w:rFonts w:hint="eastAsia"/>
          <w:szCs w:val="21"/>
        </w:rPr>
        <w:t>（请填写：中型、小型、微型）企业，</w:t>
      </w:r>
      <w:r>
        <w:rPr>
          <w:szCs w:val="21"/>
          <w:u w:val="single"/>
        </w:rPr>
        <w:t>______</w:t>
      </w:r>
      <w:r>
        <w:rPr>
          <w:rFonts w:hint="eastAsia"/>
          <w:szCs w:val="21"/>
        </w:rPr>
        <w:t>单位为</w:t>
      </w:r>
      <w:r>
        <w:rPr>
          <w:szCs w:val="21"/>
          <w:u w:val="single"/>
        </w:rPr>
        <w:t>______</w:t>
      </w:r>
      <w:r>
        <w:rPr>
          <w:rFonts w:hint="eastAsia"/>
          <w:szCs w:val="21"/>
        </w:rPr>
        <w:t>（请填写：中型、小型、微型）企业；□联合体各方均为小微企业（承诺人在□处打√）。</w:t>
      </w:r>
    </w:p>
    <w:p>
      <w:pPr>
        <w:spacing w:line="240" w:lineRule="auto"/>
        <w:ind w:firstLine="420" w:firstLineChars="200"/>
        <w:rPr>
          <w:szCs w:val="21"/>
        </w:rPr>
      </w:pPr>
      <w:r>
        <w:rPr>
          <w:szCs w:val="21"/>
        </w:rPr>
        <w:t>2.</w:t>
      </w:r>
      <w:r>
        <w:rPr>
          <w:rFonts w:hint="eastAsia"/>
          <w:szCs w:val="21"/>
        </w:rPr>
        <w:t>本联合体参加</w:t>
      </w:r>
      <w:r>
        <w:rPr>
          <w:szCs w:val="21"/>
          <w:u w:val="single"/>
        </w:rPr>
        <w:t>_</w:t>
      </w:r>
      <w:r>
        <w:rPr>
          <w:rFonts w:hint="eastAsia"/>
          <w:szCs w:val="21"/>
        </w:rPr>
        <w:t>（采购单位名称）</w:t>
      </w:r>
      <w:r>
        <w:rPr>
          <w:szCs w:val="21"/>
          <w:u w:val="single"/>
        </w:rPr>
        <w:t>_</w:t>
      </w:r>
      <w:r>
        <w:rPr>
          <w:rFonts w:hint="eastAsia"/>
          <w:szCs w:val="21"/>
        </w:rPr>
        <w:t>单位的</w:t>
      </w:r>
      <w:r>
        <w:rPr>
          <w:szCs w:val="21"/>
          <w:u w:val="single"/>
        </w:rPr>
        <w:t>_</w:t>
      </w:r>
      <w:r>
        <w:rPr>
          <w:rFonts w:hint="eastAsia"/>
          <w:szCs w:val="21"/>
        </w:rPr>
        <w:t>（采购项目名称）</w:t>
      </w:r>
      <w:r>
        <w:rPr>
          <w:szCs w:val="21"/>
          <w:u w:val="single"/>
        </w:rPr>
        <w:t>_</w:t>
      </w:r>
      <w:r>
        <w:rPr>
          <w:rFonts w:hint="eastAsia"/>
          <w:szCs w:val="21"/>
        </w:rPr>
        <w:t>项目采购活动，其中，小型、微型企业协议合同金额占到联合体协议总金额比例为</w:t>
      </w:r>
      <w:r>
        <w:rPr>
          <w:szCs w:val="21"/>
          <w:u w:val="single"/>
        </w:rPr>
        <w:t>_____</w:t>
      </w:r>
      <w:r>
        <w:rPr>
          <w:szCs w:val="21"/>
        </w:rPr>
        <w:t>%</w:t>
      </w:r>
      <w:r>
        <w:rPr>
          <w:rFonts w:hint="eastAsia"/>
          <w:szCs w:val="21"/>
        </w:rPr>
        <w:t>（该合同金额为：□小微企业制造的货物，□小微企业承担的工程、提供服务，□提供其他小微企业制造的货物；不包括使用大型企业注册商标的货物；请承诺人在□处打√），符合《政府采购促进中小企业发展暂行办法》</w:t>
      </w:r>
      <w:r>
        <w:rPr>
          <w:szCs w:val="21"/>
        </w:rPr>
        <w:t>(</w:t>
      </w:r>
      <w:r>
        <w:rPr>
          <w:rFonts w:hint="eastAsia"/>
          <w:szCs w:val="21"/>
        </w:rPr>
        <w:t>财库〔</w:t>
      </w:r>
      <w:r>
        <w:rPr>
          <w:szCs w:val="21"/>
        </w:rPr>
        <w:t>2011</w:t>
      </w:r>
      <w:r>
        <w:rPr>
          <w:rFonts w:hint="eastAsia"/>
          <w:szCs w:val="21"/>
        </w:rPr>
        <w:t>〕</w:t>
      </w:r>
      <w:r>
        <w:rPr>
          <w:szCs w:val="21"/>
        </w:rPr>
        <w:t>181</w:t>
      </w:r>
      <w:r>
        <w:rPr>
          <w:szCs w:val="21"/>
          <w:u w:val="single"/>
        </w:rPr>
        <w:t>_</w:t>
      </w:r>
      <w:r>
        <w:rPr>
          <w:rFonts w:hint="eastAsia"/>
          <w:szCs w:val="21"/>
        </w:rPr>
        <w:t>号</w:t>
      </w:r>
      <w:r>
        <w:rPr>
          <w:szCs w:val="21"/>
        </w:rPr>
        <w:t>)</w:t>
      </w:r>
      <w:r>
        <w:rPr>
          <w:rFonts w:hint="eastAsia"/>
          <w:szCs w:val="21"/>
        </w:rPr>
        <w:t>第六条规定的优惠政策。本联合体对上述声明的真实性负责。如有虚假，将依法承担相应责任。</w:t>
      </w:r>
    </w:p>
    <w:p>
      <w:pPr>
        <w:spacing w:line="240" w:lineRule="auto"/>
        <w:ind w:left="424" w:leftChars="202"/>
        <w:jc w:val="left"/>
        <w:rPr>
          <w:szCs w:val="21"/>
        </w:rPr>
      </w:pPr>
      <w:r>
        <w:rPr>
          <w:rFonts w:hint="eastAsia"/>
          <w:szCs w:val="21"/>
        </w:rPr>
        <w:t>企业</w:t>
      </w:r>
      <w:r>
        <w:rPr>
          <w:szCs w:val="21"/>
        </w:rPr>
        <w:t>1</w:t>
      </w:r>
      <w:r>
        <w:rPr>
          <w:rFonts w:hint="eastAsia"/>
          <w:szCs w:val="21"/>
        </w:rPr>
        <w:t>名称（盖章）：</w:t>
      </w:r>
      <w:r>
        <w:rPr>
          <w:szCs w:val="21"/>
          <w:u w:val="single"/>
        </w:rPr>
        <w:t>_______________________</w:t>
      </w:r>
      <w:r>
        <w:rPr>
          <w:szCs w:val="21"/>
        </w:rPr>
        <w:t xml:space="preserve"> </w:t>
      </w:r>
    </w:p>
    <w:p>
      <w:pPr>
        <w:spacing w:line="240" w:lineRule="auto"/>
        <w:ind w:left="424" w:leftChars="202"/>
        <w:jc w:val="left"/>
        <w:rPr>
          <w:szCs w:val="21"/>
        </w:rPr>
      </w:pPr>
      <w:r>
        <w:rPr>
          <w:rFonts w:hint="eastAsia"/>
          <w:szCs w:val="21"/>
        </w:rPr>
        <w:t>日期：</w:t>
      </w:r>
      <w:r>
        <w:rPr>
          <w:szCs w:val="21"/>
          <w:u w:val="single"/>
        </w:rPr>
        <w:t>_____________________________________</w:t>
      </w:r>
      <w:r>
        <w:rPr>
          <w:szCs w:val="21"/>
        </w:rPr>
        <w:t xml:space="preserve"> </w:t>
      </w:r>
    </w:p>
    <w:p>
      <w:pPr>
        <w:spacing w:line="240" w:lineRule="auto"/>
        <w:ind w:left="424" w:leftChars="202"/>
        <w:jc w:val="left"/>
        <w:rPr>
          <w:szCs w:val="21"/>
        </w:rPr>
      </w:pPr>
      <w:r>
        <w:rPr>
          <w:rFonts w:hint="eastAsia"/>
          <w:szCs w:val="21"/>
        </w:rPr>
        <w:t>企业</w:t>
      </w:r>
      <w:r>
        <w:rPr>
          <w:szCs w:val="21"/>
        </w:rPr>
        <w:t>2</w:t>
      </w:r>
      <w:r>
        <w:rPr>
          <w:rFonts w:hint="eastAsia"/>
          <w:szCs w:val="21"/>
        </w:rPr>
        <w:t>名称（盖章）：</w:t>
      </w:r>
      <w:r>
        <w:rPr>
          <w:szCs w:val="21"/>
          <w:u w:val="single"/>
        </w:rPr>
        <w:t>_______________________</w:t>
      </w:r>
    </w:p>
    <w:p>
      <w:pPr>
        <w:spacing w:line="240" w:lineRule="auto"/>
        <w:ind w:left="424" w:leftChars="202"/>
        <w:rPr>
          <w:szCs w:val="21"/>
        </w:rPr>
      </w:pPr>
      <w:r>
        <w:rPr>
          <w:rFonts w:hint="eastAsia"/>
          <w:szCs w:val="21"/>
        </w:rPr>
        <w:t>日期：</w:t>
      </w:r>
      <w:r>
        <w:rPr>
          <w:szCs w:val="21"/>
          <w:u w:val="single"/>
        </w:rPr>
        <w:t>_____________________________________</w:t>
      </w:r>
    </w:p>
    <w:p>
      <w:pPr>
        <w:ind w:firstLine="420" w:firstLineChars="200"/>
        <w:jc w:val="right"/>
        <w:rPr>
          <w:szCs w:val="21"/>
        </w:rPr>
      </w:pPr>
    </w:p>
    <w:p>
      <w:pPr>
        <w:numPr>
          <w:ilvl w:val="0"/>
          <w:numId w:val="20"/>
        </w:numPr>
        <w:tabs>
          <w:tab w:val="clear" w:pos="426"/>
        </w:tabs>
        <w:adjustRightInd/>
        <w:snapToGrid/>
        <w:spacing w:before="280" w:after="290" w:line="377" w:lineRule="auto"/>
        <w:ind w:left="988" w:firstLine="354"/>
        <w:jc w:val="left"/>
        <w:outlineLvl w:val="2"/>
        <w:rPr>
          <w:b/>
          <w:sz w:val="24"/>
        </w:rPr>
        <w:sectPr>
          <w:footerReference r:id="rId10" w:type="even"/>
          <w:pgSz w:w="11906" w:h="16838"/>
          <w:pgMar w:top="1134" w:right="1134" w:bottom="1134" w:left="1418" w:header="851" w:footer="992" w:gutter="0"/>
          <w:cols w:space="425" w:num="1"/>
          <w:titlePg/>
          <w:docGrid w:linePitch="462" w:charSpace="0"/>
        </w:sectPr>
      </w:pPr>
    </w:p>
    <w:p>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t>代理服务费承诺书</w:t>
      </w:r>
    </w:p>
    <w:p>
      <w:pPr>
        <w:widowControl w:val="0"/>
        <w:shd w:val="clear" w:color="auto" w:fill="auto"/>
        <w:tabs>
          <w:tab w:val="clear" w:pos="426"/>
        </w:tabs>
        <w:adjustRightInd/>
        <w:snapToGrid/>
        <w:spacing w:line="300" w:lineRule="auto"/>
        <w:jc w:val="center"/>
        <w:rPr>
          <w:rFonts w:cs="Times New Roman"/>
          <w:bCs/>
          <w:kern w:val="2"/>
          <w:sz w:val="32"/>
          <w:szCs w:val="32"/>
        </w:rPr>
      </w:pPr>
      <w:bookmarkStart w:id="65" w:name="_Toc480756084"/>
      <w:bookmarkStart w:id="66" w:name="_Toc275865624"/>
      <w:bookmarkStart w:id="67" w:name="_Toc480754217"/>
      <w:bookmarkStart w:id="68" w:name="_Toc480789488"/>
      <w:bookmarkStart w:id="69" w:name="_Toc480755938"/>
      <w:r>
        <w:rPr>
          <w:rFonts w:hint="eastAsia" w:cs="Times New Roman"/>
          <w:bCs/>
          <w:kern w:val="2"/>
          <w:sz w:val="32"/>
          <w:szCs w:val="32"/>
        </w:rPr>
        <w:t>代理服务费承诺书</w:t>
      </w:r>
      <w:bookmarkEnd w:id="65"/>
      <w:bookmarkEnd w:id="66"/>
      <w:bookmarkEnd w:id="67"/>
      <w:bookmarkEnd w:id="68"/>
      <w:bookmarkEnd w:id="69"/>
    </w:p>
    <w:p>
      <w:pPr>
        <w:tabs>
          <w:tab w:val="clear" w:pos="426"/>
        </w:tabs>
        <w:adjustRightInd/>
        <w:snapToGrid/>
        <w:rPr>
          <w:b/>
        </w:rPr>
      </w:pPr>
    </w:p>
    <w:p>
      <w:pPr>
        <w:tabs>
          <w:tab w:val="clear" w:pos="426"/>
        </w:tabs>
        <w:adjustRightInd/>
        <w:snapToGrid/>
        <w:rPr>
          <w:b/>
        </w:rPr>
      </w:pPr>
      <w:r>
        <w:rPr>
          <w:rFonts w:hint="eastAsia"/>
          <w:b/>
        </w:rPr>
        <w:t>深圳市鑫润招标代理有限公司：</w:t>
      </w:r>
    </w:p>
    <w:p>
      <w:pPr>
        <w:tabs>
          <w:tab w:val="clear" w:pos="426"/>
        </w:tabs>
        <w:adjustRightInd/>
        <w:snapToGrid/>
        <w:ind w:firstLine="420" w:firstLineChars="200"/>
        <w:rPr>
          <w:szCs w:val="21"/>
        </w:rPr>
      </w:pPr>
      <w:r>
        <w:rPr>
          <w:rFonts w:hint="eastAsia"/>
        </w:rPr>
        <w:t>本公司</w:t>
      </w:r>
      <w:r>
        <w:rPr>
          <w:rFonts w:hint="eastAsia"/>
          <w:u w:val="single"/>
        </w:rPr>
        <w:t>__(谈判应答人名称)__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(采购项目编号：</w:t>
      </w:r>
      <w:r>
        <w:rPr>
          <w:rFonts w:hint="eastAsia"/>
          <w:u w:val="single"/>
        </w:rPr>
        <w:t>__（采购项目编号）__</w:t>
      </w:r>
      <w:r>
        <w:rPr>
          <w:rFonts w:hint="eastAsia"/>
        </w:rPr>
        <w:t>)的谈判中如获成交</w:t>
      </w:r>
      <w:r>
        <w:rPr>
          <w:rFonts w:hint="eastAsia"/>
          <w:szCs w:val="21"/>
        </w:rPr>
        <w:t>，我公司保证按照采购文件</w:t>
      </w:r>
      <w:r>
        <w:rPr>
          <w:rFonts w:hint="eastAsia"/>
        </w:rPr>
        <w:t>的</w:t>
      </w:r>
      <w:r>
        <w:rPr>
          <w:rFonts w:hint="eastAsia"/>
          <w:szCs w:val="21"/>
        </w:rPr>
        <w:t>规定缴纳“谈判代理服务费”后，凭领取人身份证复印件并加盖公章领取《成交通知书》。如采用电汇或银行转账，我</w:t>
      </w:r>
      <w:r>
        <w:rPr>
          <w:rFonts w:hint="eastAsia"/>
        </w:rPr>
        <w:t>公</w:t>
      </w:r>
      <w:r>
        <w:rPr>
          <w:rFonts w:hint="eastAsia"/>
          <w:szCs w:val="21"/>
        </w:rPr>
        <w:t>司将同时递交谈判代理服务费缴费凭证复印件并加盖公章。</w:t>
      </w:r>
    </w:p>
    <w:p>
      <w:pPr>
        <w:tabs>
          <w:tab w:val="clear" w:pos="426"/>
        </w:tabs>
        <w:adjustRightInd/>
        <w:snapToGrid/>
        <w:ind w:firstLine="420" w:firstLineChars="200"/>
      </w:pPr>
      <w:r>
        <w:rPr>
          <w:rFonts w:hint="eastAsia"/>
        </w:rPr>
        <w:t>如我公司违反上款承诺，愿凭贵公司开出的相关通知，同意（采购代理机构名称）办理支付手续，扣除我公司提交的全部谈判应答保证金，并愿承担由此引起的一切法律责任。</w:t>
      </w:r>
    </w:p>
    <w:p>
      <w:pPr>
        <w:tabs>
          <w:tab w:val="clear" w:pos="426"/>
        </w:tabs>
        <w:adjustRightInd/>
        <w:snapToGrid/>
        <w:ind w:firstLine="420" w:firstLineChars="200"/>
      </w:pPr>
      <w:r>
        <w:rPr>
          <w:rFonts w:hint="eastAsia"/>
        </w:rPr>
        <w:t>特此承诺!</w:t>
      </w:r>
    </w:p>
    <w:p>
      <w:pPr>
        <w:tabs>
          <w:tab w:val="clear" w:pos="426"/>
        </w:tabs>
        <w:adjustRightInd/>
        <w:snapToGrid/>
        <w:ind w:firstLine="420" w:firstLineChars="200"/>
      </w:pPr>
    </w:p>
    <w:p>
      <w:pPr>
        <w:tabs>
          <w:tab w:val="clear" w:pos="426"/>
        </w:tabs>
        <w:adjustRightInd/>
        <w:snapToGrid/>
        <w:ind w:firstLine="420" w:firstLineChars="200"/>
        <w:rPr>
          <w:u w:val="single"/>
        </w:rPr>
      </w:pPr>
      <w:r>
        <w:rPr>
          <w:rFonts w:hint="eastAsia"/>
        </w:rPr>
        <w:t>单位名称：</w:t>
      </w:r>
      <w:r>
        <w:rPr>
          <w:rFonts w:hint="eastAsia"/>
          <w:u w:val="single"/>
        </w:rPr>
        <w:t>_____________________________________________________________</w:t>
      </w:r>
    </w:p>
    <w:p>
      <w:pPr>
        <w:tabs>
          <w:tab w:val="clear" w:pos="426"/>
        </w:tabs>
        <w:adjustRightInd/>
        <w:snapToGrid/>
        <w:ind w:firstLine="420" w:firstLineChars="200"/>
        <w:rPr>
          <w:u w:val="single"/>
        </w:rPr>
      </w:pPr>
      <w:r>
        <w:rPr>
          <w:rFonts w:hint="eastAsia"/>
        </w:rPr>
        <w:t>法定代表人或谈判应答人授权代表（签名或盖章）：</w:t>
      </w:r>
      <w:r>
        <w:rPr>
          <w:rFonts w:hint="eastAsia"/>
          <w:u w:val="single"/>
        </w:rPr>
        <w:t>_____________________________</w:t>
      </w:r>
    </w:p>
    <w:p>
      <w:pPr>
        <w:tabs>
          <w:tab w:val="clear" w:pos="426"/>
        </w:tabs>
        <w:adjustRightInd/>
        <w:snapToGrid/>
        <w:ind w:firstLine="420" w:firstLineChars="200"/>
        <w:rPr>
          <w:u w:val="single"/>
        </w:rPr>
      </w:pPr>
      <w:r>
        <w:rPr>
          <w:rFonts w:hint="eastAsia"/>
        </w:rPr>
        <w:t>单位地址：</w:t>
      </w:r>
      <w:r>
        <w:rPr>
          <w:rFonts w:hint="eastAsia"/>
          <w:u w:val="single"/>
        </w:rPr>
        <w:t>_____________________________________________________________</w:t>
      </w:r>
    </w:p>
    <w:p>
      <w:pPr>
        <w:tabs>
          <w:tab w:val="clear" w:pos="426"/>
        </w:tabs>
        <w:adjustRightInd/>
        <w:snapToGrid/>
        <w:ind w:firstLine="420" w:firstLineChars="200"/>
        <w:rPr>
          <w:u w:val="single"/>
        </w:rPr>
      </w:pPr>
      <w:r>
        <w:rPr>
          <w:rFonts w:hint="eastAsia"/>
        </w:rPr>
        <w:t>单位公章：</w:t>
      </w:r>
      <w:r>
        <w:rPr>
          <w:rFonts w:hint="eastAsia"/>
          <w:u w:val="single"/>
        </w:rPr>
        <w:t>_____________________________________________________________</w:t>
      </w:r>
    </w:p>
    <w:p>
      <w:pPr>
        <w:tabs>
          <w:tab w:val="clear" w:pos="426"/>
        </w:tabs>
        <w:adjustRightInd/>
        <w:snapToGrid/>
        <w:ind w:firstLine="420" w:firstLineChars="20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adjustRightInd/>
        <w:snapToGrid/>
        <w:ind w:firstLine="420" w:firstLineChars="200"/>
        <w:rPr>
          <w:u w:val="single"/>
        </w:rPr>
      </w:pPr>
      <w:r>
        <w:rPr>
          <w:rFonts w:hint="eastAsia"/>
        </w:rPr>
        <w:t>联系电话：</w:t>
      </w:r>
      <w:r>
        <w:rPr>
          <w:rFonts w:hint="eastAsia"/>
          <w:u w:val="single"/>
        </w:rPr>
        <w:t>_____________________________________________________________</w:t>
      </w:r>
    </w:p>
    <w:p>
      <w:pPr>
        <w:tabs>
          <w:tab w:val="clear" w:pos="426"/>
        </w:tabs>
        <w:spacing w:line="520" w:lineRule="exact"/>
        <w:ind w:left="424" w:leftChars="202"/>
        <w:rPr>
          <w:u w:val="single"/>
        </w:rPr>
      </w:pPr>
    </w:p>
    <w:p>
      <w:pPr>
        <w:tabs>
          <w:tab w:val="clear" w:pos="426"/>
        </w:tabs>
        <w:spacing w:line="520" w:lineRule="exact"/>
        <w:ind w:left="424" w:leftChars="202"/>
      </w:pPr>
    </w:p>
    <w:p>
      <w:pPr>
        <w:tabs>
          <w:tab w:val="clear" w:pos="426"/>
        </w:tabs>
        <w:rPr>
          <w:b/>
          <w:szCs w:val="21"/>
        </w:rPr>
      </w:pPr>
      <w:r>
        <w:rPr>
          <w:b/>
        </w:rPr>
        <w:br w:type="page"/>
      </w:r>
    </w:p>
    <w:p>
      <w:pPr>
        <w:widowControl w:val="0"/>
        <w:shd w:val="clear" w:color="auto" w:fill="auto"/>
        <w:tabs>
          <w:tab w:val="clear" w:pos="426"/>
        </w:tabs>
        <w:adjustRightInd/>
        <w:snapToGrid/>
        <w:spacing w:line="300" w:lineRule="auto"/>
        <w:jc w:val="center"/>
        <w:rPr>
          <w:rFonts w:cs="Times New Roman"/>
          <w:bCs/>
          <w:kern w:val="2"/>
          <w:sz w:val="32"/>
          <w:szCs w:val="32"/>
        </w:rPr>
      </w:pPr>
    </w:p>
    <w:p>
      <w:pPr>
        <w:widowControl w:val="0"/>
        <w:shd w:val="clear" w:color="auto" w:fill="auto"/>
        <w:tabs>
          <w:tab w:val="clear" w:pos="426"/>
        </w:tabs>
        <w:adjustRightInd/>
        <w:snapToGrid/>
        <w:spacing w:line="300" w:lineRule="auto"/>
        <w:jc w:val="center"/>
        <w:rPr>
          <w:rFonts w:cs="Times New Roman"/>
          <w:bCs/>
          <w:kern w:val="2"/>
          <w:sz w:val="32"/>
          <w:szCs w:val="32"/>
        </w:rPr>
      </w:pPr>
      <w:r>
        <w:rPr>
          <w:rFonts w:hint="eastAsia" w:cs="Times New Roman"/>
          <w:bCs/>
          <w:kern w:val="2"/>
          <w:sz w:val="32"/>
          <w:szCs w:val="32"/>
        </w:rPr>
        <w:t>谈判代理服务费发票开具须知</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7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59" w:type="dxa"/>
            <w:vAlign w:val="center"/>
          </w:tcPr>
          <w:p>
            <w:pPr>
              <w:tabs>
                <w:tab w:val="clear" w:pos="426"/>
              </w:tabs>
              <w:spacing w:line="520" w:lineRule="exact"/>
              <w:rPr>
                <w:b/>
              </w:rPr>
            </w:pPr>
            <w:r>
              <w:rPr>
                <w:rFonts w:hint="eastAsia"/>
                <w:b/>
              </w:rPr>
              <w:t>发票类型</w:t>
            </w:r>
          </w:p>
        </w:tc>
        <w:tc>
          <w:tcPr>
            <w:tcW w:w="7363" w:type="dxa"/>
            <w:vAlign w:val="center"/>
          </w:tcPr>
          <w:p>
            <w:pPr>
              <w:tabs>
                <w:tab w:val="clear" w:pos="426"/>
              </w:tabs>
              <w:spacing w:line="520" w:lineRule="exact"/>
              <w:ind w:firstLine="420" w:firstLineChars="200"/>
            </w:pPr>
            <w:r>
              <w:rPr>
                <w:rFonts w:hint="eastAsia"/>
              </w:rPr>
              <w:t>□增值税普通发票          □增值税专用发票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8522" w:type="dxa"/>
            <w:gridSpan w:val="2"/>
            <w:vAlign w:val="center"/>
          </w:tcPr>
          <w:p>
            <w:pPr>
              <w:tabs>
                <w:tab w:val="clear" w:pos="426"/>
              </w:tabs>
              <w:spacing w:line="520" w:lineRule="exact"/>
            </w:pPr>
            <w:r>
              <w:rPr>
                <w:rFonts w:hint="eastAsia"/>
              </w:rPr>
              <w:t>如选择增值税专用发票，需提供以下材料，谈判应答时密封于密封袋中：</w:t>
            </w:r>
          </w:p>
          <w:p>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pPr>
        <w:tabs>
          <w:tab w:val="clear" w:pos="426"/>
        </w:tabs>
        <w:rPr>
          <w:b/>
          <w:szCs w:val="21"/>
        </w:rPr>
      </w:pPr>
      <w:r>
        <w:rPr>
          <w:rFonts w:hint="eastAsia"/>
          <w:b/>
          <w:sz w:val="84"/>
          <w:szCs w:val="84"/>
          <w:u w:val="dashedHeavy"/>
        </w:rPr>
        <w:t xml:space="preserve">                      </w:t>
      </w:r>
      <w:r>
        <w:rPr>
          <w:rFonts w:hint="eastAsia"/>
          <w:b/>
          <w:szCs w:val="21"/>
        </w:rPr>
        <w:t xml:space="preserve"> </w:t>
      </w:r>
    </w:p>
    <w:p>
      <w:pPr>
        <w:tabs>
          <w:tab w:val="clear" w:pos="426"/>
        </w:tabs>
        <w:rPr>
          <w:b/>
          <w:szCs w:val="21"/>
        </w:rPr>
      </w:pPr>
    </w:p>
    <w:p>
      <w:pPr>
        <w:tabs>
          <w:tab w:val="clear" w:pos="426"/>
        </w:tabs>
        <w:jc w:val="center"/>
        <w:rPr>
          <w:b/>
          <w:szCs w:val="21"/>
        </w:rPr>
      </w:pPr>
      <w:r>
        <w:rPr>
          <w:rFonts w:hint="eastAsia"/>
          <w:b/>
          <w:szCs w:val="21"/>
        </w:rPr>
        <w:t>附：缴纳</w:t>
      </w:r>
      <w:r>
        <w:rPr>
          <w:b/>
          <w:szCs w:val="21"/>
        </w:rPr>
        <w:t>谈判代理服务费</w:t>
      </w:r>
      <w:r>
        <w:rPr>
          <w:rFonts w:hint="eastAsia"/>
          <w:b/>
          <w:szCs w:val="21"/>
        </w:rPr>
        <w:t>账号</w:t>
      </w:r>
      <w:r>
        <w:rPr>
          <w:b/>
          <w:szCs w:val="21"/>
        </w:rPr>
        <w:t>：</w:t>
      </w:r>
    </w:p>
    <w:tbl>
      <w:tblPr>
        <w:tblStyle w:val="4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收款人名称</w:t>
            </w:r>
          </w:p>
        </w:tc>
        <w:tc>
          <w:tcPr>
            <w:tcW w:w="5579" w:type="dxa"/>
            <w:vAlign w:val="center"/>
          </w:tcPr>
          <w:p>
            <w:pPr>
              <w:tabs>
                <w:tab w:val="clear" w:pos="426"/>
              </w:tabs>
              <w:spacing w:line="240" w:lineRule="auto"/>
              <w:jc w:val="center"/>
              <w:rPr>
                <w:b/>
                <w:szCs w:val="21"/>
              </w:rPr>
            </w:pPr>
            <w:r>
              <w:rPr>
                <w:b/>
                <w:szCs w:val="21"/>
              </w:rPr>
              <w:t>深圳市鑫润招标代理有限公司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b/>
                <w:szCs w:val="21"/>
              </w:rPr>
              <w:t>开户银行</w:t>
            </w:r>
          </w:p>
        </w:tc>
        <w:tc>
          <w:tcPr>
            <w:tcW w:w="5579" w:type="dxa"/>
            <w:vAlign w:val="center"/>
          </w:tcPr>
          <w:p>
            <w:pPr>
              <w:tabs>
                <w:tab w:val="clear" w:pos="426"/>
              </w:tabs>
              <w:spacing w:line="240" w:lineRule="auto"/>
              <w:jc w:val="center"/>
              <w:rPr>
                <w:b/>
                <w:szCs w:val="21"/>
              </w:rPr>
            </w:pPr>
            <w:r>
              <w:rPr>
                <w:b/>
                <w:szCs w:val="21"/>
              </w:rPr>
              <w:t>中国银行深圳公园大地支行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943" w:type="dxa"/>
            <w:vAlign w:val="center"/>
          </w:tcPr>
          <w:p>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pPr>
              <w:tabs>
                <w:tab w:val="clear" w:pos="426"/>
              </w:tabs>
              <w:spacing w:line="240" w:lineRule="auto"/>
              <w:jc w:val="center"/>
              <w:rPr>
                <w:b/>
                <w:sz w:val="28"/>
                <w:szCs w:val="28"/>
              </w:rPr>
            </w:pPr>
            <w:r>
              <w:rPr>
                <w:b/>
                <w:spacing w:val="26"/>
                <w:w w:val="100"/>
                <w:kern w:val="0"/>
                <w:sz w:val="28"/>
                <w:szCs w:val="28"/>
                <w:fitText w:val="1967" w:id="-1773819392"/>
              </w:rPr>
              <w:t>74717181089</w:t>
            </w:r>
            <w:r>
              <w:rPr>
                <w:b/>
                <w:spacing w:val="1"/>
                <w:w w:val="100"/>
                <w:kern w:val="0"/>
                <w:sz w:val="28"/>
                <w:szCs w:val="28"/>
                <w:fitText w:val="1967" w:id="-1773819392"/>
              </w:rPr>
              <w:t>3</w:t>
            </w:r>
          </w:p>
        </w:tc>
      </w:tr>
    </w:tbl>
    <w:p>
      <w:pPr>
        <w:tabs>
          <w:tab w:val="clear" w:pos="426"/>
        </w:tabs>
        <w:rPr>
          <w:rFonts w:cs="Arial"/>
          <w:bCs/>
          <w:sz w:val="24"/>
        </w:rPr>
      </w:pPr>
    </w:p>
    <w:p>
      <w:pPr>
        <w:tabs>
          <w:tab w:val="clear" w:pos="426"/>
        </w:tabs>
        <w:rPr>
          <w:rFonts w:cs="Arial"/>
          <w:bCs/>
          <w:sz w:val="24"/>
        </w:rPr>
      </w:pPr>
    </w:p>
    <w:p>
      <w:pPr>
        <w:tabs>
          <w:tab w:val="clear" w:pos="426"/>
        </w:tabs>
        <w:rPr>
          <w:rFonts w:cs="Arial"/>
          <w:bCs/>
          <w:sz w:val="24"/>
        </w:rPr>
      </w:pPr>
    </w:p>
    <w:p>
      <w:pPr>
        <w:tabs>
          <w:tab w:val="clear" w:pos="426"/>
        </w:tabs>
        <w:rPr>
          <w:rFonts w:cs="Arial"/>
          <w:bCs/>
          <w:sz w:val="24"/>
        </w:rPr>
      </w:pPr>
    </w:p>
    <w:p>
      <w:pPr>
        <w:tabs>
          <w:tab w:val="clear" w:pos="426"/>
        </w:tabs>
        <w:rPr>
          <w:rFonts w:cs="Arial"/>
          <w:bCs/>
          <w:sz w:val="24"/>
        </w:rPr>
      </w:pPr>
    </w:p>
    <w:p>
      <w:pPr>
        <w:numPr>
          <w:ilvl w:val="0"/>
          <w:numId w:val="20"/>
        </w:numPr>
        <w:tabs>
          <w:tab w:val="clear" w:pos="426"/>
        </w:tabs>
        <w:adjustRightInd/>
        <w:snapToGrid/>
        <w:spacing w:before="280" w:after="290" w:line="377" w:lineRule="auto"/>
        <w:ind w:left="988" w:firstLine="354"/>
        <w:jc w:val="left"/>
        <w:outlineLvl w:val="2"/>
        <w:rPr>
          <w:b/>
          <w:sz w:val="24"/>
        </w:rPr>
      </w:pPr>
      <w:r>
        <w:rPr>
          <w:rFonts w:hint="eastAsia"/>
          <w:b/>
          <w:sz w:val="24"/>
        </w:rPr>
        <w:t>采购文件要求的其他内容及谈判应答人认为需要加以说明的其他内容</w:t>
      </w:r>
    </w:p>
    <w:p>
      <w:pPr>
        <w:tabs>
          <w:tab w:val="clear" w:pos="426"/>
        </w:tabs>
        <w:ind w:firstLine="424" w:firstLineChars="202"/>
        <w:rPr>
          <w:rFonts w:cs="Arial"/>
          <w:bCs/>
          <w:szCs w:val="21"/>
        </w:rPr>
      </w:pPr>
      <w:r>
        <w:rPr>
          <w:rFonts w:hint="eastAsia"/>
        </w:rPr>
        <w:t>提供谈判公告和评标信息中关于谈判应答人的其他相关证明文件（如评标信息中涉及的各种证件（身份证除外）、设备发票等，未涉及的可以不提供）</w:t>
      </w:r>
    </w:p>
    <w:bookmarkEnd w:id="39"/>
    <w:p>
      <w:pPr>
        <w:shd w:val="clear" w:color="auto" w:fill="auto"/>
        <w:tabs>
          <w:tab w:val="clear" w:pos="426"/>
        </w:tabs>
        <w:adjustRightInd/>
        <w:snapToGrid/>
        <w:spacing w:line="240" w:lineRule="auto"/>
        <w:jc w:val="left"/>
        <w:rPr>
          <w:rFonts w:ascii="Arial" w:hAnsi="Arial" w:cs="Times New Roman"/>
          <w:b/>
          <w:bCs/>
          <w:kern w:val="2"/>
          <w:sz w:val="36"/>
          <w:szCs w:val="32"/>
        </w:rPr>
      </w:pPr>
      <w:bookmarkStart w:id="70" w:name="_Toc47111227"/>
      <w:r>
        <w:rPr>
          <w:rFonts w:ascii="Arial" w:hAnsi="Arial" w:cs="Times New Roman"/>
          <w:b/>
          <w:bCs/>
          <w:kern w:val="2"/>
          <w:sz w:val="36"/>
          <w:szCs w:val="32"/>
        </w:rPr>
        <w:br w:type="page"/>
      </w:r>
    </w:p>
    <w:p>
      <w:pPr>
        <w:tabs>
          <w:tab w:val="clear" w:pos="426"/>
        </w:tabs>
        <w:spacing w:before="240" w:after="60"/>
        <w:jc w:val="center"/>
        <w:outlineLvl w:val="0"/>
        <w:rPr>
          <w:rFonts w:ascii="Arial" w:hAnsi="Arial" w:cs="Times New Roman"/>
          <w:b/>
          <w:bCs/>
          <w:kern w:val="2"/>
          <w:sz w:val="36"/>
          <w:szCs w:val="32"/>
        </w:rPr>
      </w:pPr>
      <w:bookmarkStart w:id="71" w:name="_Toc96519542"/>
      <w:r>
        <w:rPr>
          <w:rFonts w:hint="eastAsia" w:ascii="Arial" w:hAnsi="Arial" w:cs="Times New Roman"/>
          <w:b/>
          <w:bCs/>
          <w:kern w:val="2"/>
          <w:sz w:val="36"/>
          <w:szCs w:val="32"/>
        </w:rPr>
        <w:t xml:space="preserve">第二册 </w:t>
      </w:r>
      <w:r>
        <w:rPr>
          <w:rFonts w:ascii="Arial" w:hAnsi="Arial" w:cs="Times New Roman"/>
          <w:b/>
          <w:bCs/>
          <w:kern w:val="2"/>
          <w:sz w:val="36"/>
          <w:szCs w:val="32"/>
        </w:rPr>
        <w:t xml:space="preserve"> </w:t>
      </w:r>
      <w:r>
        <w:rPr>
          <w:rFonts w:hint="eastAsia" w:ascii="Arial" w:hAnsi="Arial" w:cs="Times New Roman"/>
          <w:b/>
          <w:bCs/>
          <w:kern w:val="2"/>
          <w:sz w:val="36"/>
          <w:szCs w:val="32"/>
        </w:rPr>
        <w:t>通用条款</w:t>
      </w:r>
      <w:bookmarkEnd w:id="70"/>
      <w:bookmarkEnd w:id="71"/>
    </w:p>
    <w:p>
      <w:pPr>
        <w:tabs>
          <w:tab w:val="clear" w:pos="426"/>
        </w:tabs>
        <w:jc w:val="center"/>
        <w:rPr>
          <w:b/>
        </w:rPr>
      </w:pPr>
      <w:bookmarkStart w:id="72" w:name="_Toc432592821"/>
      <w:bookmarkStart w:id="73" w:name="_Toc398220529"/>
      <w:r>
        <w:rPr>
          <w:rFonts w:hint="eastAsia"/>
          <w:b/>
        </w:rPr>
        <w:t>（供应商须知）</w:t>
      </w:r>
    </w:p>
    <w:p>
      <w:pPr>
        <w:keepNext/>
        <w:keepLines/>
        <w:tabs>
          <w:tab w:val="clear" w:pos="426"/>
        </w:tabs>
        <w:spacing w:before="260" w:after="260" w:line="240" w:lineRule="auto"/>
        <w:textAlignment w:val="baseline"/>
        <w:outlineLvl w:val="1"/>
        <w:rPr>
          <w:rFonts w:cs="Times New Roman"/>
          <w:b/>
          <w:sz w:val="24"/>
          <w:szCs w:val="20"/>
        </w:rPr>
      </w:pPr>
      <w:bookmarkStart w:id="74" w:name="_Toc96519543"/>
      <w:bookmarkStart w:id="75" w:name="_Toc47111228"/>
      <w:r>
        <w:rPr>
          <w:rFonts w:hint="eastAsia" w:cs="Times New Roman"/>
          <w:b/>
          <w:sz w:val="24"/>
          <w:szCs w:val="20"/>
        </w:rPr>
        <w:t>第一章 总则</w:t>
      </w:r>
      <w:bookmarkEnd w:id="72"/>
      <w:bookmarkEnd w:id="73"/>
      <w:bookmarkEnd w:id="74"/>
      <w:bookmarkEnd w:id="75"/>
    </w:p>
    <w:p>
      <w:pPr>
        <w:tabs>
          <w:tab w:val="clear" w:pos="426"/>
        </w:tabs>
      </w:pPr>
      <w:r>
        <w:rPr>
          <w:rFonts w:hint="eastAsia"/>
        </w:rPr>
        <w:t>1.通用条款说明</w:t>
      </w:r>
    </w:p>
    <w:p>
      <w:pPr>
        <w:tabs>
          <w:tab w:val="clear" w:pos="426"/>
        </w:tabs>
      </w:pPr>
      <w:r>
        <w:rPr>
          <w:rFonts w:hint="eastAsia"/>
        </w:rPr>
        <w:t>1.1采购代理机构发出单一来源采购文件通用条款版本，列出单一来源采购采购所适用的通用条款内容。如有需要，采购代理机构可以对这些条款增加附录或补充内容。</w:t>
      </w:r>
    </w:p>
    <w:p>
      <w:pPr>
        <w:tabs>
          <w:tab w:val="clear" w:pos="426"/>
        </w:tabs>
      </w:pPr>
      <w:bookmarkStart w:id="76" w:name="_Toc73521637"/>
      <w:bookmarkStart w:id="77" w:name="_Toc100052366"/>
      <w:bookmarkStart w:id="78" w:name="_Toc73517641"/>
      <w:bookmarkStart w:id="79" w:name="_Toc73518119"/>
      <w:bookmarkStart w:id="80" w:name="_Toc60560627"/>
      <w:bookmarkStart w:id="81" w:name="_Toc73521549"/>
      <w:bookmarkStart w:id="82" w:name="_Toc60631622"/>
      <w:bookmarkStart w:id="83" w:name="_Toc100052368"/>
      <w:bookmarkStart w:id="84" w:name="_Toc73518121"/>
      <w:bookmarkStart w:id="85" w:name="_Toc73517643"/>
      <w:bookmarkStart w:id="86" w:name="_Toc73521639"/>
      <w:bookmarkStart w:id="87" w:name="_Toc60560629"/>
      <w:bookmarkStart w:id="88" w:name="_Toc73521551"/>
      <w:bookmarkStart w:id="89" w:name="_Toc60631624"/>
      <w:r>
        <w:rPr>
          <w:rFonts w:hint="eastAsia"/>
        </w:rPr>
        <w:t>2</w:t>
      </w:r>
      <w:r>
        <w:t>.</w:t>
      </w:r>
      <w:r>
        <w:rPr>
          <w:rFonts w:hint="eastAsia"/>
        </w:rPr>
        <w:t>单一来源采购说明</w:t>
      </w:r>
      <w:bookmarkEnd w:id="76"/>
      <w:bookmarkEnd w:id="77"/>
      <w:bookmarkEnd w:id="78"/>
      <w:bookmarkEnd w:id="79"/>
      <w:bookmarkEnd w:id="80"/>
      <w:bookmarkEnd w:id="81"/>
      <w:bookmarkEnd w:id="82"/>
    </w:p>
    <w:p>
      <w:pPr>
        <w:tabs>
          <w:tab w:val="clear" w:pos="426"/>
        </w:tabs>
        <w:rPr>
          <w:color w:val="000000"/>
          <w:szCs w:val="21"/>
        </w:rPr>
      </w:pPr>
      <w:r>
        <w:rPr>
          <w:rFonts w:hint="eastAsia"/>
        </w:rPr>
        <w:t>本项目按照《政府采购条例》《政府采购条例实施细则》的规定，并参考有关法规、政策、规章、规定通过单一来源采购择优选定供应商。</w:t>
      </w:r>
      <w:r>
        <w:rPr>
          <w:rFonts w:hint="eastAsia"/>
          <w:color w:val="000000"/>
          <w:szCs w:val="21"/>
        </w:rPr>
        <w:t>本单一来源采购文件适用于</w:t>
      </w:r>
      <w:r>
        <w:rPr>
          <w:rFonts w:hint="eastAsia"/>
          <w:szCs w:val="21"/>
        </w:rPr>
        <w:t>采购公告中所述项目的</w:t>
      </w:r>
      <w:r>
        <w:rPr>
          <w:rFonts w:hint="eastAsia"/>
          <w:color w:val="000000"/>
          <w:szCs w:val="21"/>
        </w:rPr>
        <w:t>政府采购。</w:t>
      </w:r>
    </w:p>
    <w:p>
      <w:pPr>
        <w:tabs>
          <w:tab w:val="clear" w:pos="426"/>
        </w:tabs>
        <w:rPr>
          <w:color w:val="000000"/>
          <w:szCs w:val="21"/>
        </w:rPr>
      </w:pPr>
      <w:r>
        <w:rPr>
          <w:rFonts w:hint="eastAsia"/>
          <w:color w:val="000000"/>
          <w:szCs w:val="21"/>
        </w:rPr>
        <w:t>本单一来源采购文件的解释权归属深圳市鑫润招标代理有限公司。</w:t>
      </w:r>
    </w:p>
    <w:p>
      <w:pPr>
        <w:tabs>
          <w:tab w:val="clear" w:pos="426"/>
        </w:tabs>
      </w:pPr>
      <w:bookmarkStart w:id="90" w:name="_Toc73521550"/>
      <w:bookmarkStart w:id="91" w:name="_Toc73521638"/>
      <w:bookmarkStart w:id="92" w:name="_Toc60560628"/>
      <w:bookmarkStart w:id="93" w:name="_Toc100052367"/>
      <w:bookmarkStart w:id="94" w:name="_Toc73517642"/>
      <w:bookmarkStart w:id="95" w:name="_Toc60631623"/>
      <w:bookmarkStart w:id="96" w:name="_Toc73518120"/>
      <w:r>
        <w:rPr>
          <w:rFonts w:hint="eastAsia"/>
        </w:rPr>
        <w:t>3.定义</w:t>
      </w:r>
      <w:bookmarkEnd w:id="90"/>
      <w:bookmarkEnd w:id="91"/>
      <w:bookmarkEnd w:id="92"/>
      <w:bookmarkEnd w:id="93"/>
      <w:bookmarkEnd w:id="94"/>
      <w:bookmarkEnd w:id="95"/>
      <w:bookmarkEnd w:id="96"/>
    </w:p>
    <w:p>
      <w:pPr>
        <w:tabs>
          <w:tab w:val="clear" w:pos="426"/>
        </w:tabs>
      </w:pPr>
      <w:r>
        <w:t>单一来源采购文件中下列术语应解释为：</w:t>
      </w:r>
    </w:p>
    <w:p>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系指政府设立的负责本级财政性资金的集中采购和单一来源采购组织工作的专门机构；本项目</w:t>
      </w:r>
      <w:r>
        <w:t>系指</w:t>
      </w:r>
      <w:r>
        <w:rPr>
          <w:rFonts w:hint="eastAsia"/>
        </w:rPr>
        <w:t>深圳市鑫润招标代理有限公司；</w:t>
      </w:r>
    </w:p>
    <w:p>
      <w:pPr>
        <w:tabs>
          <w:tab w:val="clear" w:pos="426"/>
        </w:tabs>
      </w:pPr>
      <w:r>
        <w:rPr>
          <w:rFonts w:hint="eastAsia"/>
        </w:rPr>
        <w:t xml:space="preserve">3.2“采购人”或“采购单位”：系指利用财政性资金依法进行政府采购的国家机关、事业单位、团体组织； </w:t>
      </w:r>
    </w:p>
    <w:p>
      <w:pPr>
        <w:tabs>
          <w:tab w:val="clear" w:pos="426"/>
        </w:tabs>
      </w:pPr>
      <w:r>
        <w:rPr>
          <w:rFonts w:hint="eastAsia"/>
        </w:rPr>
        <w:t>3.3“供应商”或“谈判应答方”：系指参加谈判应答竞争并愿意按照单一来源采购文件要求向采购人提供货物、工程或者服务的依法成立的法人、其他组织或者自然人；</w:t>
      </w:r>
    </w:p>
    <w:p>
      <w:pPr>
        <w:tabs>
          <w:tab w:val="clear" w:pos="426"/>
        </w:tabs>
      </w:pPr>
      <w:r>
        <w:rPr>
          <w:rFonts w:hint="eastAsia"/>
        </w:rPr>
        <w:t>3.4“谈判小组”：系是依据《政府采购条例》有关规定组建的专门负责本次单一来源采购其评标（谈判）工作的临时性机构；</w:t>
      </w:r>
    </w:p>
    <w:p>
      <w:pPr>
        <w:tabs>
          <w:tab w:val="clear" w:pos="426"/>
        </w:tabs>
      </w:pPr>
      <w:r>
        <w:rPr>
          <w:rFonts w:hint="eastAsia"/>
        </w:rPr>
        <w:t>3.5“日期”</w:t>
      </w:r>
      <w:r>
        <w:t>指</w:t>
      </w:r>
      <w:r>
        <w:rPr>
          <w:rFonts w:hint="eastAsia"/>
        </w:rPr>
        <w:t>公历日；</w:t>
      </w:r>
    </w:p>
    <w:p>
      <w:pPr>
        <w:tabs>
          <w:tab w:val="clear" w:pos="426"/>
        </w:tabs>
      </w:pPr>
      <w:r>
        <w:rPr>
          <w:rFonts w:hint="eastAsia"/>
        </w:rPr>
        <w:t>3.6“合同”指由本次单一来源采购所产生的合同或合约文件；</w:t>
      </w:r>
    </w:p>
    <w:p>
      <w:pPr>
        <w:tabs>
          <w:tab w:val="clear" w:pos="426"/>
        </w:tabs>
      </w:pPr>
      <w:r>
        <w:rPr>
          <w:rFonts w:hint="eastAsia"/>
        </w:rPr>
        <w:t>3.7单一来源采购文件中的标题或题名仅起引导作用，而不应视为对单一来源采购文件内容的理解和解释。</w:t>
      </w:r>
    </w:p>
    <w:p>
      <w:pPr>
        <w:tabs>
          <w:tab w:val="clear" w:pos="426"/>
        </w:tabs>
      </w:pPr>
      <w:r>
        <w:rPr>
          <w:rFonts w:hint="eastAsia"/>
        </w:rPr>
        <w:t>4. 政府采购供应商责任</w:t>
      </w:r>
    </w:p>
    <w:p>
      <w:pPr>
        <w:tabs>
          <w:tab w:val="clear" w:pos="426"/>
        </w:tabs>
      </w:pPr>
      <w:r>
        <w:rPr>
          <w:rFonts w:hint="eastAsia"/>
        </w:rPr>
        <w:t>4.1欢迎诚信、有实力和有社会责任心的供应商参与政府采购事业。</w:t>
      </w:r>
    </w:p>
    <w:p>
      <w:pPr>
        <w:tabs>
          <w:tab w:val="clear" w:pos="426"/>
        </w:tabs>
      </w:pPr>
      <w:r>
        <w:rPr>
          <w:rFonts w:hint="eastAsia"/>
        </w:rPr>
        <w:t>4.2供应商在政府采购项目谈判应答过程中应诚实守信，不弄虚作假，不隐瞒真实情况，不围标串标，不恶意质疑投诉。如违反上述要求，经核实后，供应商的谈判应答将作废，没收谈判应答保证金，将该供应商列入不良记录名单并在网上曝光，同时提请政府采购监督管理部门给予一定年限内禁止参加政府采购活动的处罚或其他处罚。</w:t>
      </w:r>
    </w:p>
    <w:p>
      <w:pPr>
        <w:tabs>
          <w:tab w:val="clear" w:pos="426"/>
        </w:tabs>
      </w:pPr>
      <w:r>
        <w:rPr>
          <w:rFonts w:hint="eastAsia"/>
        </w:rPr>
        <w:t>5.</w:t>
      </w:r>
      <w:bookmarkEnd w:id="83"/>
      <w:bookmarkEnd w:id="84"/>
      <w:bookmarkEnd w:id="85"/>
      <w:bookmarkEnd w:id="86"/>
      <w:bookmarkEnd w:id="87"/>
      <w:bookmarkEnd w:id="88"/>
      <w:bookmarkEnd w:id="89"/>
      <w:r>
        <w:rPr>
          <w:rFonts w:hint="eastAsia"/>
        </w:rPr>
        <w:t>合格的供应商</w:t>
      </w:r>
    </w:p>
    <w:p>
      <w:pPr>
        <w:widowControl w:val="0"/>
        <w:shd w:val="clear" w:color="auto" w:fill="auto"/>
        <w:tabs>
          <w:tab w:val="clear" w:pos="426"/>
        </w:tabs>
        <w:autoSpaceDE w:val="0"/>
        <w:autoSpaceDN w:val="0"/>
        <w:rPr>
          <w:szCs w:val="21"/>
        </w:rPr>
      </w:pPr>
      <w:bookmarkStart w:id="97" w:name="_Toc73518123"/>
      <w:bookmarkStart w:id="98" w:name="_Toc60631626"/>
      <w:bookmarkStart w:id="99" w:name="_Toc60560631"/>
      <w:bookmarkStart w:id="100" w:name="_Toc73517645"/>
      <w:bookmarkStart w:id="101" w:name="_Toc73521553"/>
      <w:bookmarkStart w:id="102" w:name="_Toc100052370"/>
      <w:bookmarkStart w:id="103" w:name="_Toc73521641"/>
      <w:r>
        <w:rPr>
          <w:rFonts w:hint="eastAsia"/>
          <w:szCs w:val="21"/>
        </w:rPr>
        <w:t>5.1 供应商是响应单一来源采购并且符合单一来源采购文件规定资格条件和参加谈判应答竞争的法人、其他组织或者自然人。</w:t>
      </w:r>
    </w:p>
    <w:p>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合格的供应商</w:t>
      </w:r>
    </w:p>
    <w:p>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pPr>
        <w:widowControl w:val="0"/>
        <w:shd w:val="clear" w:color="auto" w:fill="auto"/>
        <w:tabs>
          <w:tab w:val="clear" w:pos="426"/>
        </w:tabs>
        <w:autoSpaceDE w:val="0"/>
        <w:autoSpaceDN w:val="0"/>
        <w:rPr>
          <w:szCs w:val="21"/>
        </w:rPr>
      </w:pPr>
      <w:r>
        <w:rPr>
          <w:rFonts w:hint="eastAsia"/>
          <w:szCs w:val="21"/>
        </w:rPr>
        <w:t xml:space="preserve">5.2.2 </w:t>
      </w:r>
      <w:r>
        <w:rPr>
          <w:szCs w:val="21"/>
        </w:rPr>
        <w:t>具有良好的商业信誉和健全的财务会计制度</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只有在法律上和财务上独立、合法运作并独立于采购人和政府采购代理机构的供货商才能参加谈判应答。</w:t>
      </w:r>
    </w:p>
    <w:p>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szCs w:val="21"/>
        </w:rPr>
      </w:pPr>
      <w:r>
        <w:rPr>
          <w:rFonts w:hint="eastAsia"/>
          <w:szCs w:val="21"/>
        </w:rPr>
        <w:t>5.2.9 符合</w:t>
      </w:r>
      <w:r>
        <w:rPr>
          <w:rFonts w:hint="eastAsia" w:cs="黑体"/>
          <w:szCs w:val="21"/>
        </w:rPr>
        <w:t>第一章采购公告“供应商资格要求”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szCs w:val="21"/>
        </w:rPr>
      </w:pPr>
      <w:r>
        <w:rPr>
          <w:rFonts w:hint="eastAsia"/>
          <w:szCs w:val="21"/>
        </w:rPr>
        <w:t>5.3 成交人是指经法定程序确定并授予合同的供应商。</w:t>
      </w:r>
    </w:p>
    <w:p>
      <w:pPr>
        <w:tabs>
          <w:tab w:val="clear" w:pos="426"/>
        </w:tabs>
      </w:pPr>
      <w:r>
        <w:rPr>
          <w:rFonts w:hint="eastAsia"/>
        </w:rPr>
        <w:t>6.联合体谈判应答</w:t>
      </w:r>
    </w:p>
    <w:p>
      <w:pPr>
        <w:tabs>
          <w:tab w:val="clear" w:pos="426"/>
        </w:tabs>
      </w:pPr>
      <w:r>
        <w:rPr>
          <w:rFonts w:hint="eastAsia"/>
        </w:rPr>
        <w:t>6.1以下有关联合体谈判应答的条款仅适用于允许供应商组成联合体谈判应答的项目。</w:t>
      </w:r>
    </w:p>
    <w:p>
      <w:pPr>
        <w:tabs>
          <w:tab w:val="clear" w:pos="426"/>
        </w:tabs>
      </w:pPr>
      <w:r>
        <w:rPr>
          <w:rFonts w:hint="eastAsia"/>
        </w:rPr>
        <w:t>6.2由两个或两个以上的自然人、法人或者其他组织可以组成一个联合体，以一个供应商的身份共同谈判应答时，应符合以下原则：</w:t>
      </w:r>
    </w:p>
    <w:p>
      <w:pPr>
        <w:tabs>
          <w:tab w:val="clear" w:pos="426"/>
        </w:tabs>
        <w:rPr>
          <w:color w:val="000000"/>
        </w:rPr>
      </w:pPr>
      <w:r>
        <w:rPr>
          <w:rFonts w:hint="eastAsia"/>
          <w:color w:val="000000"/>
        </w:rPr>
        <w:t>6.2.</w:t>
      </w:r>
      <w:r>
        <w:rPr>
          <w:rFonts w:hint="eastAsia"/>
          <w:bCs/>
          <w:color w:val="000000"/>
        </w:rPr>
        <w:t>1谈判应答联合体应满足采购公告有关供应商资格要求中对联合体的要求；</w:t>
      </w:r>
    </w:p>
    <w:p>
      <w:pPr>
        <w:tabs>
          <w:tab w:val="clear" w:pos="426"/>
        </w:tabs>
        <w:rPr>
          <w:color w:val="000000"/>
        </w:rPr>
      </w:pPr>
      <w:r>
        <w:rPr>
          <w:rFonts w:hint="eastAsia"/>
          <w:color w:val="000000"/>
        </w:rPr>
        <w:t>6.2.2对于采购公告中所要求供应商应具有的某一资质，若联合体各方均具有，则将以联合体各方中最低的资质等级作为联合体在这一资质条件上的资质等级；联合体各方的不同资质可优势互补。</w:t>
      </w:r>
    </w:p>
    <w:p>
      <w:pPr>
        <w:tabs>
          <w:tab w:val="clear" w:pos="426"/>
        </w:tabs>
        <w:rPr>
          <w:color w:val="000000"/>
        </w:rPr>
      </w:pPr>
      <w:r>
        <w:rPr>
          <w:rFonts w:hint="eastAsia"/>
          <w:color w:val="000000"/>
        </w:rPr>
        <w:t>6.2.3供应商的谈判应答文件及成交后签署的合同协议对联合体各方均具法律约束力；</w:t>
      </w:r>
    </w:p>
    <w:p>
      <w:pPr>
        <w:tabs>
          <w:tab w:val="clear" w:pos="426"/>
        </w:tabs>
        <w:rPr>
          <w:color w:val="000000"/>
        </w:rPr>
      </w:pPr>
      <w:r>
        <w:rPr>
          <w:rFonts w:hint="eastAsia"/>
          <w:color w:val="000000"/>
        </w:rPr>
        <w:t>6.2.4联合体各方应当签订共同谈判应答协议，明确约定各方拟承担的工作和责任，并将该共同谈判应答协议随谈判应答文件一并递交给政府采购代理机构；</w:t>
      </w:r>
    </w:p>
    <w:p>
      <w:pPr>
        <w:tabs>
          <w:tab w:val="clear" w:pos="426"/>
        </w:tabs>
        <w:rPr>
          <w:color w:val="000000"/>
        </w:rPr>
      </w:pPr>
      <w:r>
        <w:rPr>
          <w:rFonts w:hint="eastAsia"/>
          <w:color w:val="000000"/>
        </w:rPr>
        <w:t>6.2.5联合体的各方应当共同推荐一联合体谈判应答授权代表人，由联合体各方提交一份授权书，证明其有资格代表联合体各方签署谈判应答文件，该授权书作为谈判应答文件的组成部分一并提交给政府采购代理机构；</w:t>
      </w:r>
    </w:p>
    <w:p>
      <w:pPr>
        <w:tabs>
          <w:tab w:val="clear" w:pos="426"/>
        </w:tabs>
        <w:rPr>
          <w:color w:val="000000"/>
        </w:rPr>
      </w:pPr>
      <w:r>
        <w:rPr>
          <w:rFonts w:hint="eastAsia"/>
          <w:color w:val="000000"/>
        </w:rPr>
        <w:t>6.2.6参加联合体的各方不得再以自己的名义单独谈判应答，不得同时参加两个或两个以上的联合体谈判应答、不得以分包商或其它形式参与谈判应答，出现上述情况者，其谈判应答和与此有关联合体、总包单位的谈判应答将被拒绝；</w:t>
      </w:r>
    </w:p>
    <w:p>
      <w:pPr>
        <w:tabs>
          <w:tab w:val="clear" w:pos="426"/>
        </w:tabs>
        <w:rPr>
          <w:color w:val="000000"/>
        </w:rPr>
      </w:pPr>
      <w:r>
        <w:rPr>
          <w:rFonts w:hint="eastAsia"/>
          <w:color w:val="000000"/>
        </w:rPr>
        <w:t>6.2.7除非另有规定或说明，本须知中“供应商”一词亦指联合体各方。</w:t>
      </w:r>
    </w:p>
    <w:p>
      <w:pPr>
        <w:tabs>
          <w:tab w:val="clear" w:pos="426"/>
        </w:tabs>
      </w:pPr>
      <w:r>
        <w:rPr>
          <w:rFonts w:hint="eastAsia"/>
        </w:rPr>
        <w:t>7. 合格的服务和货物</w:t>
      </w:r>
    </w:p>
    <w:p>
      <w:pPr>
        <w:widowControl w:val="0"/>
        <w:shd w:val="clear" w:color="auto" w:fill="auto"/>
        <w:tabs>
          <w:tab w:val="clear" w:pos="426"/>
        </w:tabs>
        <w:autoSpaceDE w:val="0"/>
        <w:autoSpaceDN w:val="0"/>
        <w:rPr>
          <w:szCs w:val="21"/>
        </w:rPr>
      </w:pPr>
      <w:r>
        <w:rPr>
          <w:rFonts w:hint="eastAsia"/>
          <w:szCs w:val="21"/>
        </w:rPr>
        <w:t>7.1 “服务” 是指供应商按单一来源采购文件规定完成的全部服务内容，其中包括完成服务所需的货物，及须承担的技术支持、培训和其它伴随服务。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cs="黑体"/>
          <w:b/>
          <w:bCs/>
          <w:szCs w:val="21"/>
        </w:rPr>
      </w:pPr>
      <w:r>
        <w:rPr>
          <w:rFonts w:hint="eastAsia"/>
          <w:szCs w:val="21"/>
        </w:rPr>
        <w:t>7.2 “货物”是指供应商制造或组织符合单一来源采购文件要求的货物等。谈判应答的货物必须是其合法生产、合法来源的符合国家有关标准要求的货物，并满足单一来源采购文件规定的规格、参数、质量、价格、有效期、售后服务等要求。</w:t>
      </w:r>
    </w:p>
    <w:p>
      <w:pPr>
        <w:widowControl w:val="0"/>
        <w:shd w:val="clear" w:color="auto" w:fill="auto"/>
        <w:tabs>
          <w:tab w:val="clear" w:pos="426"/>
        </w:tabs>
        <w:autoSpaceDE w:val="0"/>
        <w:autoSpaceDN w:val="0"/>
        <w:rPr>
          <w:szCs w:val="21"/>
        </w:rPr>
      </w:pPr>
      <w:r>
        <w:rPr>
          <w:rFonts w:hint="eastAsia"/>
          <w:szCs w:val="21"/>
        </w:rPr>
        <w:t>7.3 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szCs w:val="21"/>
        </w:rPr>
      </w:pPr>
      <w:r>
        <w:rPr>
          <w:rFonts w:hint="eastAsia"/>
          <w:szCs w:val="21"/>
        </w:rPr>
        <w:t>7.4 采购人有权拒绝接受任何不合格的服务，由此产生的费用及相关后果均由供应商自行承担。</w:t>
      </w:r>
    </w:p>
    <w:p>
      <w:pPr>
        <w:widowControl w:val="0"/>
        <w:shd w:val="clear" w:color="auto" w:fill="auto"/>
        <w:tabs>
          <w:tab w:val="clear" w:pos="426"/>
        </w:tabs>
        <w:autoSpaceDE w:val="0"/>
        <w:autoSpaceDN w:val="0"/>
        <w:rPr>
          <w:szCs w:val="21"/>
        </w:rPr>
      </w:pPr>
      <w:r>
        <w:rPr>
          <w:rFonts w:hint="eastAsia"/>
          <w:szCs w:val="21"/>
        </w:rPr>
        <w:t>7.5 供应商应保证本项目的谈判应答技术、服务或其任何一部分不会产生因第三方提出侵犯其专利权、商标权或其他知识产权而引起的法律和经济纠纷；如果供应商不拥有相应的知识产权，则须在报价中包括合法获取该知识产权的相关费用，并在谈判应答文件中附有相关证明文件。如因第三方提出其专利权、商标权或其他知识产权的侵权之诉，则一切法律责任由供应商承担。</w:t>
      </w:r>
    </w:p>
    <w:p>
      <w:pPr>
        <w:tabs>
          <w:tab w:val="clear" w:pos="426"/>
        </w:tabs>
      </w:pPr>
      <w:r>
        <w:rPr>
          <w:rFonts w:hint="eastAsia"/>
        </w:rPr>
        <w:t>8.谈判应答费用</w:t>
      </w:r>
      <w:bookmarkEnd w:id="97"/>
      <w:bookmarkEnd w:id="98"/>
      <w:bookmarkEnd w:id="99"/>
      <w:bookmarkEnd w:id="100"/>
      <w:bookmarkEnd w:id="101"/>
      <w:bookmarkEnd w:id="102"/>
      <w:bookmarkEnd w:id="103"/>
    </w:p>
    <w:p>
      <w:pPr>
        <w:tabs>
          <w:tab w:val="clear" w:pos="426"/>
        </w:tabs>
      </w:pPr>
      <w:r>
        <w:rPr>
          <w:rFonts w:hint="eastAsia"/>
        </w:rPr>
        <w:t>不论谈判应答结果如何，供应商应承担其编制谈判应答文件与递交谈判应答文件所涉及的一切费用。</w:t>
      </w:r>
      <w:r>
        <w:rPr>
          <w:rFonts w:hint="eastAsia"/>
          <w:szCs w:val="21"/>
          <w:lang w:eastAsia="zh-TW"/>
        </w:rPr>
        <w:t>不论谈判应答的结果如何</w:t>
      </w:r>
      <w:r>
        <w:rPr>
          <w:rFonts w:hint="eastAsia"/>
          <w:szCs w:val="21"/>
        </w:rPr>
        <w:t>，</w:t>
      </w:r>
      <w:r>
        <w:rPr>
          <w:rFonts w:hint="eastAsia"/>
          <w:szCs w:val="21"/>
          <w:lang w:eastAsia="zh-TW"/>
        </w:rPr>
        <w:t>单一来源采购采购单位均无义务和责任承担这些费用</w:t>
      </w:r>
      <w:r>
        <w:rPr>
          <w:rFonts w:hint="eastAsia"/>
          <w:szCs w:val="21"/>
        </w:rPr>
        <w:t>。</w:t>
      </w:r>
    </w:p>
    <w:p>
      <w:pPr>
        <w:tabs>
          <w:tab w:val="clear" w:pos="426"/>
        </w:tabs>
      </w:pPr>
      <w:bookmarkStart w:id="104" w:name="_Toc73518124"/>
      <w:bookmarkStart w:id="105" w:name="_Toc73521642"/>
      <w:bookmarkStart w:id="106" w:name="_Toc73517646"/>
      <w:bookmarkStart w:id="107" w:name="_Toc73521554"/>
      <w:bookmarkStart w:id="108" w:name="_Toc100052371"/>
      <w:bookmarkStart w:id="109" w:name="_Toc60560632"/>
      <w:bookmarkStart w:id="110" w:name="_Toc60631627"/>
      <w:r>
        <w:rPr>
          <w:rFonts w:hint="eastAsia"/>
        </w:rPr>
        <w:t>9.踏勘现场</w:t>
      </w:r>
      <w:bookmarkEnd w:id="104"/>
      <w:bookmarkEnd w:id="105"/>
      <w:bookmarkEnd w:id="106"/>
      <w:bookmarkEnd w:id="107"/>
      <w:bookmarkEnd w:id="108"/>
      <w:bookmarkEnd w:id="109"/>
      <w:bookmarkEnd w:id="110"/>
    </w:p>
    <w:p>
      <w:pPr>
        <w:tabs>
          <w:tab w:val="clear" w:pos="426"/>
        </w:tabs>
      </w:pPr>
      <w:bookmarkStart w:id="111" w:name="_Toc78260681"/>
      <w:bookmarkStart w:id="112" w:name="_Toc100052372"/>
      <w:r>
        <w:rPr>
          <w:rFonts w:hint="eastAsia"/>
        </w:rPr>
        <w:t>9.1如有需要，采购代理机构或采购单位将组织供应商对项目现场及周围环境进行踏勘，以便供应商获取有关编制谈判应答文件和签署合同所需的所有资料。踏勘现场所发生的费用和风险由供应商自己承担，供应商应按采购公告所约定的时间、地点统一踏勘现场。</w:t>
      </w:r>
    </w:p>
    <w:p>
      <w:pPr>
        <w:tabs>
          <w:tab w:val="clear" w:pos="426"/>
        </w:tabs>
      </w:pPr>
      <w:r>
        <w:rPr>
          <w:rFonts w:hint="eastAsia"/>
        </w:rPr>
        <w:t>9.2供应商及其人员经过采购单位的允许，可以踏勘目的进入采购单位的项目现场。若本项目单一来源采购文件要求供应商于统一时间地点踏勘现场的，供应商按时前往。</w:t>
      </w:r>
    </w:p>
    <w:p>
      <w:pPr>
        <w:tabs>
          <w:tab w:val="clear" w:pos="426"/>
        </w:tabs>
      </w:pPr>
      <w:r>
        <w:rPr>
          <w:rFonts w:hint="eastAsia"/>
        </w:rPr>
        <w:t>9.3采购单位必须通过采购代理机构向供应商提供有关现场的资料和数据。</w:t>
      </w:r>
    </w:p>
    <w:p>
      <w:pPr>
        <w:tabs>
          <w:tab w:val="clear" w:pos="426"/>
        </w:tabs>
      </w:pPr>
      <w:r>
        <w:rPr>
          <w:rFonts w:hint="eastAsia"/>
        </w:rPr>
        <w:t>9.4任何人或任何组织在踏勘现场时向供应商提交的任何书面或口头上的资料，未经采购代理机构在网上发布或书面通知，均作无效处理。采购代理机构对供应商由此而做出的推论、理解和结论概不负责。</w:t>
      </w:r>
    </w:p>
    <w:p>
      <w:pPr>
        <w:tabs>
          <w:tab w:val="clear" w:pos="426"/>
        </w:tabs>
      </w:pPr>
      <w:r>
        <w:rPr>
          <w:rFonts w:hint="eastAsia"/>
        </w:rPr>
        <w:t>9.5 未参与现场踏勘不作为否定供应商资格的理由。</w:t>
      </w:r>
    </w:p>
    <w:p>
      <w:pPr>
        <w:tabs>
          <w:tab w:val="clear" w:pos="426"/>
        </w:tabs>
      </w:pPr>
      <w:r>
        <w:rPr>
          <w:rFonts w:hint="eastAsia"/>
        </w:rPr>
        <w:t>10.单一来源采购</w:t>
      </w:r>
      <w:bookmarkEnd w:id="111"/>
      <w:r>
        <w:rPr>
          <w:rFonts w:hint="eastAsia"/>
        </w:rPr>
        <w:t>答疑</w:t>
      </w:r>
      <w:bookmarkEnd w:id="112"/>
    </w:p>
    <w:p>
      <w:pPr>
        <w:tabs>
          <w:tab w:val="clear" w:pos="426"/>
        </w:tabs>
      </w:pPr>
      <w:r>
        <w:rPr>
          <w:rFonts w:hint="eastAsia"/>
        </w:rPr>
        <w:t>10.1单一来源采购答疑的目的是澄清、解答供应商在查阅单一来源采购文件后或现场踏勘中可能提出的与谈判应答有关的疑问或询问。</w:t>
      </w:r>
    </w:p>
    <w:p>
      <w:pPr>
        <w:tabs>
          <w:tab w:val="clear" w:pos="426"/>
        </w:tabs>
      </w:pPr>
      <w:r>
        <w:rPr>
          <w:rFonts w:hint="eastAsia"/>
        </w:rPr>
        <w:t>10.2供应商提出的与谈判应答有关的问题须在单一来源采购文件规定的答疑截止时间前以 “质疑函</w:t>
      </w:r>
      <w:r>
        <w:t>”</w:t>
      </w:r>
      <w:r>
        <w:rPr>
          <w:rFonts w:hint="eastAsia"/>
        </w:rPr>
        <w:t>的形式提交给采购代理机构，质疑函应该加盖质疑单位公章。</w:t>
      </w:r>
    </w:p>
    <w:p>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pPr>
        <w:tabs>
          <w:tab w:val="clear" w:pos="426"/>
        </w:tabs>
      </w:pPr>
      <w:r>
        <w:rPr>
          <w:rFonts w:hint="eastAsia"/>
        </w:rPr>
        <w:t>10.4如采购代理机构认为有必要组织现场答疑会，供应商应按照单一来源采购文件规定的时间或采购代理机构另行书面通知（包括网站发布的通知）的时间和地点，参与现场答疑会。</w:t>
      </w:r>
    </w:p>
    <w:p>
      <w:pPr>
        <w:tabs>
          <w:tab w:val="clear" w:pos="426"/>
        </w:tabs>
      </w:pPr>
      <w:r>
        <w:rPr>
          <w:rFonts w:hint="eastAsia"/>
        </w:rPr>
        <w:t>10.5未参与单一来源采购答疑不作为否定供应商资格的理由。</w:t>
      </w:r>
    </w:p>
    <w:p>
      <w:pPr>
        <w:keepNext/>
        <w:keepLines/>
        <w:tabs>
          <w:tab w:val="clear" w:pos="426"/>
        </w:tabs>
        <w:spacing w:before="260" w:after="260" w:line="240" w:lineRule="auto"/>
        <w:textAlignment w:val="baseline"/>
        <w:outlineLvl w:val="1"/>
        <w:rPr>
          <w:rFonts w:cs="Times New Roman"/>
          <w:b/>
          <w:sz w:val="24"/>
          <w:szCs w:val="20"/>
        </w:rPr>
      </w:pPr>
      <w:bookmarkStart w:id="113" w:name="bt招标文件"/>
      <w:bookmarkEnd w:id="113"/>
      <w:bookmarkStart w:id="114" w:name="_Toc73521644"/>
      <w:bookmarkStart w:id="115" w:name="_Toc398220530"/>
      <w:bookmarkStart w:id="116" w:name="_Toc96519544"/>
      <w:bookmarkStart w:id="117" w:name="_Toc100052373"/>
      <w:bookmarkStart w:id="118" w:name="_Toc432592822"/>
      <w:bookmarkStart w:id="119" w:name="_Toc73517648"/>
      <w:bookmarkStart w:id="120" w:name="_Toc73521556"/>
      <w:bookmarkStart w:id="121" w:name="_Toc73518126"/>
      <w:bookmarkStart w:id="122" w:name="_Toc47111229"/>
      <w:bookmarkStart w:id="123" w:name="_Toc101074878"/>
      <w:r>
        <w:rPr>
          <w:rFonts w:hint="eastAsia" w:cs="Times New Roman"/>
          <w:b/>
          <w:sz w:val="24"/>
          <w:szCs w:val="20"/>
        </w:rPr>
        <w:t>第二章 单一来源采购文件</w:t>
      </w:r>
      <w:bookmarkEnd w:id="114"/>
      <w:bookmarkEnd w:id="115"/>
      <w:bookmarkEnd w:id="116"/>
      <w:bookmarkEnd w:id="117"/>
      <w:bookmarkEnd w:id="118"/>
      <w:bookmarkEnd w:id="119"/>
      <w:bookmarkEnd w:id="120"/>
      <w:bookmarkEnd w:id="121"/>
      <w:bookmarkEnd w:id="122"/>
      <w:bookmarkEnd w:id="123"/>
    </w:p>
    <w:p>
      <w:pPr>
        <w:tabs>
          <w:tab w:val="clear" w:pos="426"/>
        </w:tabs>
      </w:pPr>
      <w:bookmarkStart w:id="124" w:name="_Toc73521557"/>
      <w:bookmarkStart w:id="125" w:name="_Toc100052374"/>
      <w:bookmarkStart w:id="126" w:name="_Toc73521645"/>
      <w:bookmarkStart w:id="127" w:name="_Toc73517649"/>
      <w:bookmarkStart w:id="128" w:name="_Toc73518127"/>
      <w:r>
        <w:rPr>
          <w:rFonts w:hint="eastAsia"/>
        </w:rPr>
        <w:t>11.单一来源采购文件的编制与组成</w:t>
      </w:r>
      <w:bookmarkEnd w:id="124"/>
      <w:bookmarkEnd w:id="125"/>
      <w:bookmarkEnd w:id="126"/>
      <w:bookmarkEnd w:id="127"/>
      <w:bookmarkEnd w:id="128"/>
    </w:p>
    <w:p>
      <w:pPr>
        <w:tabs>
          <w:tab w:val="clear" w:pos="426"/>
        </w:tabs>
      </w:pPr>
      <w:r>
        <w:rPr>
          <w:rFonts w:hint="eastAsia"/>
        </w:rPr>
        <w:t>11.1单一来源采购文件除以下内容外，采购代理机构在单一来源采购（或谈判）期间发出的答疑纪要和其他补充修改函件，均是单一来源采购文件的组成部分，对供应商起约束作用；</w:t>
      </w:r>
    </w:p>
    <w:p>
      <w:pPr>
        <w:tabs>
          <w:tab w:val="clear" w:pos="426"/>
        </w:tabs>
      </w:pPr>
      <w:r>
        <w:rPr>
          <w:rFonts w:hint="eastAsia"/>
        </w:rPr>
        <w:t>单一来源采购文件包括下列内容：</w:t>
      </w:r>
    </w:p>
    <w:p>
      <w:pPr>
        <w:tabs>
          <w:tab w:val="clear" w:pos="426"/>
        </w:tabs>
      </w:pPr>
      <w:r>
        <w:rPr>
          <w:rFonts w:hint="eastAsia"/>
        </w:rPr>
        <w:t>项目关键信息</w:t>
      </w:r>
    </w:p>
    <w:p>
      <w:pPr>
        <w:tabs>
          <w:tab w:val="clear" w:pos="426"/>
        </w:tabs>
      </w:pPr>
      <w:r>
        <w:rPr>
          <w:rFonts w:hint="eastAsia"/>
        </w:rPr>
        <w:t>谈判信息</w:t>
      </w:r>
    </w:p>
    <w:p>
      <w:pPr>
        <w:tabs>
          <w:tab w:val="clear" w:pos="426"/>
        </w:tabs>
      </w:pPr>
      <w:r>
        <w:rPr>
          <w:rFonts w:hint="eastAsia"/>
        </w:rPr>
        <w:t>第一册  专用条款</w:t>
      </w:r>
    </w:p>
    <w:p>
      <w:pPr>
        <w:tabs>
          <w:tab w:val="clear" w:pos="426"/>
        </w:tabs>
      </w:pPr>
      <w:r>
        <w:rPr>
          <w:rFonts w:hint="eastAsia"/>
        </w:rPr>
        <w:t>第一章  采购公告</w:t>
      </w:r>
    </w:p>
    <w:p>
      <w:pPr>
        <w:tabs>
          <w:tab w:val="clear" w:pos="426"/>
        </w:tabs>
      </w:pPr>
      <w:r>
        <w:rPr>
          <w:rFonts w:hint="eastAsia"/>
        </w:rPr>
        <w:t>第二章  采购项目需求</w:t>
      </w:r>
    </w:p>
    <w:p>
      <w:pPr>
        <w:tabs>
          <w:tab w:val="clear" w:pos="426"/>
        </w:tabs>
      </w:pPr>
      <w:r>
        <w:rPr>
          <w:rFonts w:hint="eastAsia"/>
        </w:rPr>
        <w:t>第三章  合同条款及格式</w:t>
      </w:r>
    </w:p>
    <w:p>
      <w:pPr>
        <w:tabs>
          <w:tab w:val="clear" w:pos="426"/>
        </w:tabs>
      </w:pPr>
      <w:r>
        <w:rPr>
          <w:rFonts w:hint="eastAsia"/>
        </w:rPr>
        <w:t>第四章  谈判应答文件格式、附件</w:t>
      </w:r>
    </w:p>
    <w:p>
      <w:pPr>
        <w:tabs>
          <w:tab w:val="clear" w:pos="426"/>
        </w:tabs>
      </w:pPr>
      <w:r>
        <w:rPr>
          <w:rFonts w:hint="eastAsia"/>
        </w:rPr>
        <w:t>第二册  通用条款</w:t>
      </w:r>
    </w:p>
    <w:p>
      <w:pPr>
        <w:tabs>
          <w:tab w:val="clear" w:pos="426"/>
        </w:tabs>
      </w:pPr>
      <w:r>
        <w:rPr>
          <w:rFonts w:hint="eastAsia"/>
        </w:rPr>
        <w:t>第一章  总则</w:t>
      </w:r>
    </w:p>
    <w:p>
      <w:pPr>
        <w:tabs>
          <w:tab w:val="clear" w:pos="426"/>
        </w:tabs>
      </w:pPr>
      <w:r>
        <w:rPr>
          <w:rFonts w:hint="eastAsia"/>
        </w:rPr>
        <w:t>第二章  单一来源采购文件</w:t>
      </w:r>
    </w:p>
    <w:p>
      <w:pPr>
        <w:tabs>
          <w:tab w:val="clear" w:pos="426"/>
        </w:tabs>
      </w:pPr>
      <w:r>
        <w:rPr>
          <w:rFonts w:hint="eastAsia"/>
        </w:rPr>
        <w:t>第三章  谈判应答文件的编制与递交</w:t>
      </w:r>
    </w:p>
    <w:p>
      <w:pPr>
        <w:tabs>
          <w:tab w:val="clear" w:pos="426"/>
        </w:tabs>
      </w:pPr>
      <w:r>
        <w:rPr>
          <w:rFonts w:hint="eastAsia"/>
        </w:rPr>
        <w:t>第四章  谈判初始报价</w:t>
      </w:r>
    </w:p>
    <w:p>
      <w:pPr>
        <w:tabs>
          <w:tab w:val="clear" w:pos="426"/>
        </w:tabs>
      </w:pPr>
      <w:r>
        <w:rPr>
          <w:rFonts w:hint="eastAsia"/>
        </w:rPr>
        <w:t>第五章  谈判要求</w:t>
      </w:r>
    </w:p>
    <w:p>
      <w:pPr>
        <w:tabs>
          <w:tab w:val="clear" w:pos="426"/>
        </w:tabs>
      </w:pPr>
      <w:r>
        <w:rPr>
          <w:rFonts w:hint="eastAsia"/>
        </w:rPr>
        <w:t>第六章  谈判程序及谈判方法</w:t>
      </w:r>
    </w:p>
    <w:p>
      <w:pPr>
        <w:tabs>
          <w:tab w:val="clear" w:pos="426"/>
        </w:tabs>
      </w:pPr>
      <w:r>
        <w:rPr>
          <w:rFonts w:hint="eastAsia"/>
        </w:rPr>
        <w:t>第七章  定标及公示</w:t>
      </w:r>
    </w:p>
    <w:p>
      <w:pPr>
        <w:tabs>
          <w:tab w:val="clear" w:pos="426"/>
        </w:tabs>
      </w:pPr>
      <w:r>
        <w:rPr>
          <w:rFonts w:hint="eastAsia"/>
        </w:rPr>
        <w:t>第八章  公开单一来源采购失败的后续处理</w:t>
      </w:r>
    </w:p>
    <w:p>
      <w:pPr>
        <w:tabs>
          <w:tab w:val="clear" w:pos="426"/>
        </w:tabs>
      </w:pPr>
      <w:r>
        <w:rPr>
          <w:rFonts w:hint="eastAsia"/>
        </w:rPr>
        <w:t>第九章  合同的授予与备案</w:t>
      </w:r>
    </w:p>
    <w:p>
      <w:pPr>
        <w:tabs>
          <w:tab w:val="clear" w:pos="426"/>
        </w:tabs>
      </w:pPr>
      <w:r>
        <w:rPr>
          <w:rFonts w:hint="eastAsia"/>
        </w:rPr>
        <w:t>第十章  质疑处理</w:t>
      </w:r>
    </w:p>
    <w:p>
      <w:pPr>
        <w:tabs>
          <w:tab w:val="clear" w:pos="426"/>
        </w:tabs>
      </w:pPr>
      <w:bookmarkStart w:id="129" w:name="_Toc60560636"/>
      <w:bookmarkStart w:id="130" w:name="_Toc73517650"/>
      <w:bookmarkStart w:id="131" w:name="_Toc100052375"/>
      <w:bookmarkStart w:id="132" w:name="_Toc73521558"/>
      <w:bookmarkStart w:id="133" w:name="_Toc60631631"/>
      <w:bookmarkStart w:id="134" w:name="_Toc73521646"/>
      <w:bookmarkStart w:id="135" w:name="_Toc73518128"/>
      <w:bookmarkStart w:id="136" w:name="_Toc100052376"/>
      <w:bookmarkStart w:id="137" w:name="_Toc60560637"/>
      <w:bookmarkStart w:id="138" w:name="_Toc73521647"/>
      <w:bookmarkStart w:id="139" w:name="_Toc60631632"/>
      <w:bookmarkStart w:id="140" w:name="_Toc73518129"/>
      <w:bookmarkStart w:id="141" w:name="_Toc73517651"/>
      <w:bookmarkStart w:id="142" w:name="_Toc73521559"/>
      <w:r>
        <w:rPr>
          <w:rFonts w:hint="eastAsia"/>
        </w:rPr>
        <w:t>11.2 供应商购买单一来源采购文件后，应仔细检查单一来源采购文件的所有内容，如有残缺应在答疑截止时间之前向采购代理机构提出，否则，由此引起的谈判应答损失自负；供应商同时应认真审阅单一来源采购文件所有的事项、格式、条款和规范要求等，如果供应商的谈判应答文件没有按单一来源采购文件要求提交全部资料或者谈判应答文件没有对单一来源采购文件做出实质性响应，其风险应由供应商自行承担，并根据有关条款规定，其谈判应答有可能被拒绝。</w:t>
      </w:r>
    </w:p>
    <w:p>
      <w:pPr>
        <w:tabs>
          <w:tab w:val="clear" w:pos="426"/>
        </w:tabs>
        <w:rPr>
          <w:szCs w:val="21"/>
        </w:rPr>
      </w:pPr>
      <w:r>
        <w:rPr>
          <w:rFonts w:hint="eastAsia"/>
          <w:szCs w:val="21"/>
        </w:rPr>
        <w:t>11.3</w:t>
      </w:r>
      <w:r>
        <w:rPr>
          <w:rFonts w:hint="eastAsia"/>
        </w:rPr>
        <w:t>任何人或任何组织向供应商提交的任何书面或口头资料，未经采购代理机构在网上发布或书面通知，均作无效处理，不得作为单一来源采购文件的组成部分。采购代理机构对供应商由此而做出的推论、理解和结论概不负责。</w:t>
      </w:r>
    </w:p>
    <w:p>
      <w:pPr>
        <w:tabs>
          <w:tab w:val="clear" w:pos="426"/>
        </w:tabs>
      </w:pPr>
      <w:r>
        <w:rPr>
          <w:rFonts w:hint="eastAsia"/>
        </w:rPr>
        <w:t>12.单一来源采购文件的澄清</w:t>
      </w:r>
      <w:bookmarkEnd w:id="129"/>
      <w:bookmarkEnd w:id="130"/>
      <w:bookmarkEnd w:id="131"/>
      <w:bookmarkEnd w:id="132"/>
      <w:bookmarkEnd w:id="133"/>
      <w:bookmarkEnd w:id="134"/>
      <w:bookmarkEnd w:id="135"/>
    </w:p>
    <w:p>
      <w:pPr>
        <w:tabs>
          <w:tab w:val="clear" w:pos="426"/>
        </w:tabs>
      </w:pPr>
      <w:r>
        <w:rPr>
          <w:rFonts w:hint="eastAsia"/>
        </w:rPr>
        <w:t>12.1供应商在收到单一来源采购文件后，对单一来源采购文件任何部分若有任何疑问，或要求澄清单一来源采购文件的，均应在采购公告规定的答疑截止时间内，按“质疑函”的形式向采购代理机构提交。不论是采购代理机构根据需要主动对单一来源采购文件进行必要的澄清或是根据供应商的要求对单一来源采购文件做出澄清，采购代理机构都将在谈判应答截止日期前以书面形式答复或发送给所有供应商。澄清纪要作为单一来源采购文件的组成部分，对供应商起约束作用；</w:t>
      </w:r>
    </w:p>
    <w:p>
      <w:pPr>
        <w:tabs>
          <w:tab w:val="clear" w:pos="426"/>
        </w:tabs>
      </w:pPr>
      <w:r>
        <w:rPr>
          <w:rFonts w:hint="eastAsia"/>
        </w:rPr>
        <w:t>12.2对于没有提出澄清又参与了该项目谈判应答的供应商将被视为完全认同该单一来源采购文件（含澄清纪要），谈判应答截止期后不再受理针对单一来源采购文件的相关质疑或投诉。</w:t>
      </w:r>
    </w:p>
    <w:p>
      <w:pPr>
        <w:tabs>
          <w:tab w:val="clear" w:pos="426"/>
        </w:tabs>
      </w:pPr>
      <w:r>
        <w:rPr>
          <w:rFonts w:hint="eastAsia"/>
        </w:rPr>
        <w:t>12.3 对单一来源采购文件中描述有歧意或前后不一致的地方，谈判小组有权进行评判，但对同一条款的评判应适用于每个供应商。</w:t>
      </w:r>
    </w:p>
    <w:p>
      <w:pPr>
        <w:tabs>
          <w:tab w:val="clear" w:pos="426"/>
        </w:tabs>
      </w:pPr>
      <w:r>
        <w:t>1</w:t>
      </w:r>
      <w:r>
        <w:rPr>
          <w:rFonts w:hint="eastAsia"/>
        </w:rPr>
        <w:t>3.单一来源采购文件的修改</w:t>
      </w:r>
      <w:bookmarkEnd w:id="136"/>
      <w:bookmarkEnd w:id="137"/>
      <w:bookmarkEnd w:id="138"/>
      <w:bookmarkEnd w:id="139"/>
      <w:bookmarkEnd w:id="140"/>
      <w:bookmarkEnd w:id="141"/>
      <w:bookmarkEnd w:id="142"/>
    </w:p>
    <w:p>
      <w:pPr>
        <w:tabs>
          <w:tab w:val="clear" w:pos="426"/>
        </w:tabs>
      </w:pPr>
      <w:bookmarkStart w:id="143" w:name="bt投标文件"/>
      <w:bookmarkEnd w:id="143"/>
      <w:bookmarkStart w:id="144" w:name="_Toc100052377"/>
      <w:bookmarkStart w:id="145" w:name="_Toc73517652"/>
      <w:bookmarkStart w:id="146" w:name="_Toc101074879"/>
      <w:bookmarkStart w:id="147" w:name="_Toc73518130"/>
      <w:bookmarkStart w:id="148" w:name="_Toc73521648"/>
      <w:bookmarkStart w:id="149" w:name="_Toc73521560"/>
      <w:r>
        <w:t>1</w:t>
      </w:r>
      <w:r>
        <w:rPr>
          <w:rFonts w:hint="eastAsia"/>
        </w:rPr>
        <w:t>3.1单一来源采购文件发出后，在谈判应答截止日期前任何时候，确需要变更单一来源采购内容的，采购代理机构可主动地或在解答供应商提出的澄清问题时对单一来源采购文件进行修改；</w:t>
      </w:r>
    </w:p>
    <w:p>
      <w:pPr>
        <w:tabs>
          <w:tab w:val="clear" w:pos="426"/>
        </w:tabs>
      </w:pPr>
      <w:r>
        <w:t>1</w:t>
      </w:r>
      <w:r>
        <w:rPr>
          <w:rFonts w:hint="eastAsia"/>
        </w:rPr>
        <w:t>3.2单一来源采购文件的修改以书面形式（包括网站公开发布方式）发送给所有供应商，单一来源采购文件的修改内容作为单一来源采购文件的组成部分，并具有约束力。</w:t>
      </w:r>
    </w:p>
    <w:p>
      <w:pPr>
        <w:tabs>
          <w:tab w:val="clear" w:pos="426"/>
        </w:tabs>
      </w:pPr>
      <w:r>
        <w:t>1</w:t>
      </w:r>
      <w:r>
        <w:rPr>
          <w:rFonts w:hint="eastAsia"/>
        </w:rPr>
        <w:t>3.3单一来源采购文件、单一来源采购文件澄清（答疑）纪要、单一来源采购文件修改补充通知内容均以书面（包括网站公开发布方式）明确的内容为准。当单一来源采购文件、修改补充通知、澄清（答疑）纪要内容相互矛盾时，以最后发出的通知（或纪要）或修改文件为准；</w:t>
      </w:r>
    </w:p>
    <w:p>
      <w:pPr>
        <w:tabs>
          <w:tab w:val="clear" w:pos="426"/>
        </w:tabs>
      </w:pPr>
      <w:r>
        <w:t>1</w:t>
      </w:r>
      <w:r>
        <w:rPr>
          <w:rFonts w:hint="eastAsia"/>
        </w:rPr>
        <w:t>3.4采购代理机构保证单一来源采购文件澄清（答疑）纪要和单一来源采购文件修改补充通知在谈判应答截止时间前以网站公开发布形式或书面形式发送给所有供应商。为使供应商在编写谈判应答文件时有充分时间对单一来源采购文件的修改部分进行研究，采购代理机构可以酌情延长递交谈判应答文件的截止日期，具体时间将在修改补充通知中明确。</w:t>
      </w:r>
    </w:p>
    <w:p>
      <w:pPr>
        <w:keepNext/>
        <w:keepLines/>
        <w:tabs>
          <w:tab w:val="clear" w:pos="426"/>
        </w:tabs>
        <w:spacing w:before="260" w:after="260" w:line="240" w:lineRule="auto"/>
        <w:textAlignment w:val="baseline"/>
        <w:outlineLvl w:val="1"/>
        <w:rPr>
          <w:rFonts w:cs="Times New Roman"/>
          <w:b/>
          <w:sz w:val="24"/>
          <w:szCs w:val="20"/>
        </w:rPr>
      </w:pPr>
      <w:bookmarkStart w:id="150" w:name="_Toc398220531"/>
      <w:bookmarkStart w:id="151" w:name="_Toc47111230"/>
      <w:bookmarkStart w:id="152" w:name="_Toc432592823"/>
      <w:bookmarkStart w:id="153" w:name="_Toc96519545"/>
      <w:r>
        <w:rPr>
          <w:rFonts w:hint="eastAsia" w:cs="Times New Roman"/>
          <w:b/>
          <w:sz w:val="24"/>
          <w:szCs w:val="20"/>
        </w:rPr>
        <w:t>第三章 谈判应答文件</w:t>
      </w:r>
      <w:bookmarkEnd w:id="144"/>
      <w:bookmarkEnd w:id="145"/>
      <w:bookmarkEnd w:id="146"/>
      <w:bookmarkEnd w:id="147"/>
      <w:bookmarkEnd w:id="148"/>
      <w:bookmarkEnd w:id="149"/>
      <w:r>
        <w:rPr>
          <w:rFonts w:hint="eastAsia" w:cs="Times New Roman"/>
          <w:b/>
          <w:sz w:val="24"/>
          <w:szCs w:val="20"/>
        </w:rPr>
        <w:t>的编制与递交</w:t>
      </w:r>
      <w:bookmarkEnd w:id="150"/>
      <w:bookmarkEnd w:id="151"/>
      <w:bookmarkEnd w:id="152"/>
      <w:bookmarkEnd w:id="153"/>
    </w:p>
    <w:p>
      <w:pPr>
        <w:tabs>
          <w:tab w:val="clear" w:pos="426"/>
        </w:tabs>
      </w:pPr>
      <w:bookmarkStart w:id="154" w:name="_Toc73518131"/>
      <w:bookmarkStart w:id="155" w:name="_Toc73521561"/>
      <w:bookmarkStart w:id="156" w:name="_Toc100052378"/>
      <w:bookmarkStart w:id="157" w:name="_Toc60560639"/>
      <w:bookmarkStart w:id="158" w:name="_Toc73521649"/>
      <w:bookmarkStart w:id="159" w:name="_Toc73517653"/>
      <w:bookmarkStart w:id="160" w:name="_Toc60631634"/>
      <w:r>
        <w:rPr>
          <w:rFonts w:hint="eastAsia"/>
        </w:rPr>
        <w:t>14.谈判应答文件的语言及度量单位</w:t>
      </w:r>
      <w:bookmarkEnd w:id="154"/>
      <w:bookmarkEnd w:id="155"/>
      <w:bookmarkEnd w:id="156"/>
      <w:bookmarkEnd w:id="157"/>
      <w:bookmarkEnd w:id="158"/>
      <w:bookmarkEnd w:id="159"/>
      <w:bookmarkEnd w:id="160"/>
    </w:p>
    <w:p>
      <w:pPr>
        <w:tabs>
          <w:tab w:val="clear" w:pos="426"/>
        </w:tabs>
      </w:pPr>
      <w:r>
        <w:rPr>
          <w:rFonts w:hint="eastAsia"/>
        </w:rPr>
        <w:t>14.1 供应商与采购代理机构之间与谈判应答有关的所有往来通知、函件和谈判应答文件均用中文表述。供应商随谈判应答文件提供的证明文件和资料可以为其它语言，但必须附中文译文。翻译的中文资料与外文资料如果出现差异时，以中文为准，但翻译错误的除外。</w:t>
      </w:r>
    </w:p>
    <w:p>
      <w:pPr>
        <w:tabs>
          <w:tab w:val="clear" w:pos="426"/>
        </w:tabs>
      </w:pPr>
      <w:r>
        <w:rPr>
          <w:rFonts w:hint="eastAsia"/>
        </w:rPr>
        <w:t>14.2 除技术规范另有规定外，谈判应答文件使用的度量单位，均采用中华人民共和国法定计量单位。</w:t>
      </w:r>
    </w:p>
    <w:p>
      <w:pPr>
        <w:tabs>
          <w:tab w:val="clear" w:pos="426"/>
        </w:tabs>
      </w:pPr>
      <w:bookmarkStart w:id="161" w:name="_Toc73521562"/>
      <w:bookmarkStart w:id="162" w:name="_Toc60631635"/>
      <w:bookmarkStart w:id="163" w:name="_Toc73521650"/>
      <w:bookmarkStart w:id="164" w:name="_Toc60560640"/>
      <w:bookmarkStart w:id="165" w:name="_Toc100052379"/>
      <w:bookmarkStart w:id="166" w:name="_Toc73518132"/>
      <w:bookmarkStart w:id="167" w:name="_Toc73517654"/>
      <w:r>
        <w:rPr>
          <w:rFonts w:hint="eastAsia"/>
        </w:rPr>
        <w:t>15.谈判应答文件的组成</w:t>
      </w:r>
      <w:bookmarkEnd w:id="161"/>
      <w:bookmarkEnd w:id="162"/>
      <w:bookmarkEnd w:id="163"/>
      <w:bookmarkEnd w:id="164"/>
      <w:bookmarkEnd w:id="165"/>
      <w:bookmarkEnd w:id="166"/>
      <w:bookmarkEnd w:id="167"/>
    </w:p>
    <w:p>
      <w:pPr>
        <w:tabs>
          <w:tab w:val="clear" w:pos="426"/>
        </w:tabs>
      </w:pPr>
      <w:r>
        <w:rPr>
          <w:rFonts w:hint="eastAsia"/>
        </w:rPr>
        <w:t>具体内容请详见本项目专用条款的相关内容。</w:t>
      </w:r>
      <w:bookmarkStart w:id="168" w:name="_Toc73521563"/>
      <w:bookmarkStart w:id="169" w:name="_Toc73517655"/>
      <w:bookmarkStart w:id="170" w:name="_Toc60631636"/>
      <w:bookmarkStart w:id="171" w:name="_Toc73521651"/>
      <w:bookmarkStart w:id="172" w:name="_Toc73518133"/>
      <w:bookmarkStart w:id="173" w:name="投标文件的组成"/>
      <w:bookmarkStart w:id="174" w:name="_Toc60560641"/>
    </w:p>
    <w:p>
      <w:pPr>
        <w:tabs>
          <w:tab w:val="clear" w:pos="426"/>
        </w:tabs>
      </w:pPr>
      <w:r>
        <w:rPr>
          <w:rFonts w:hint="eastAsia"/>
        </w:rPr>
        <w:t>16. 谈判应答文件格式</w:t>
      </w:r>
    </w:p>
    <w:p>
      <w:pPr>
        <w:tabs>
          <w:tab w:val="clear" w:pos="426"/>
        </w:tabs>
      </w:pPr>
      <w:r>
        <w:rPr>
          <w:rFonts w:hint="eastAsia"/>
        </w:rPr>
        <w:t>16</w:t>
      </w:r>
      <w:r>
        <w:t>.1</w:t>
      </w:r>
      <w:r>
        <w:rPr>
          <w:rFonts w:hint="eastAsia"/>
        </w:rPr>
        <w:t>谈判应答文件包括本通用条款第15条中规定的内容。如单一来源采购文件提供了谈判应答文件格式，则供应商提交的谈判应答文件必须毫无例外地使用单一来源采购文件所提供的相应格式并统一使用A4篇幅（表格可以按同样格式扩展）。</w:t>
      </w:r>
    </w:p>
    <w:bookmarkEnd w:id="168"/>
    <w:bookmarkEnd w:id="169"/>
    <w:bookmarkEnd w:id="170"/>
    <w:bookmarkEnd w:id="171"/>
    <w:bookmarkEnd w:id="172"/>
    <w:bookmarkEnd w:id="173"/>
    <w:bookmarkEnd w:id="174"/>
    <w:p>
      <w:pPr>
        <w:tabs>
          <w:tab w:val="clear" w:pos="426"/>
        </w:tabs>
      </w:pPr>
      <w:bookmarkStart w:id="175" w:name="_Toc73517657"/>
      <w:bookmarkStart w:id="176" w:name="_Toc60631638"/>
      <w:bookmarkStart w:id="177" w:name="_Toc60560643"/>
      <w:bookmarkStart w:id="178" w:name="_Toc73521653"/>
      <w:bookmarkStart w:id="179" w:name="_Toc100052382"/>
      <w:bookmarkStart w:id="180" w:name="_Toc73518135"/>
      <w:bookmarkStart w:id="181" w:name="_Toc73521565"/>
      <w:r>
        <w:rPr>
          <w:rFonts w:hint="eastAsia"/>
        </w:rPr>
        <w:t>17.谈判应答货币</w:t>
      </w:r>
      <w:bookmarkEnd w:id="175"/>
      <w:bookmarkEnd w:id="176"/>
      <w:bookmarkEnd w:id="177"/>
      <w:bookmarkEnd w:id="178"/>
      <w:bookmarkEnd w:id="179"/>
      <w:bookmarkEnd w:id="180"/>
      <w:bookmarkEnd w:id="181"/>
    </w:p>
    <w:p>
      <w:pPr>
        <w:tabs>
          <w:tab w:val="clear" w:pos="426"/>
        </w:tabs>
      </w:pPr>
      <w:r>
        <w:rPr>
          <w:rFonts w:hint="eastAsia"/>
        </w:rPr>
        <w:t>本项目的谈判应答应以人民币计。</w:t>
      </w:r>
    </w:p>
    <w:p>
      <w:pPr>
        <w:widowControl w:val="0"/>
        <w:shd w:val="clear" w:color="auto" w:fill="auto"/>
        <w:tabs>
          <w:tab w:val="clear" w:pos="426"/>
        </w:tabs>
        <w:autoSpaceDE w:val="0"/>
        <w:autoSpaceDN w:val="0"/>
      </w:pPr>
      <w:r>
        <w:rPr>
          <w:rFonts w:hint="eastAsia"/>
        </w:rPr>
        <w:t>18. 证明供应商合格和资格的文件</w:t>
      </w:r>
    </w:p>
    <w:p>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供应商应提交证明其有资格参加谈判应答和成交后有能力履行合同的文件</w:t>
      </w:r>
      <w:r>
        <w:rPr>
          <w:rFonts w:hint="eastAsia"/>
          <w:szCs w:val="21"/>
        </w:rPr>
        <w:t>，</w:t>
      </w:r>
      <w:r>
        <w:rPr>
          <w:rFonts w:hint="eastAsia"/>
          <w:szCs w:val="21"/>
          <w:lang w:eastAsia="zh-TW"/>
        </w:rPr>
        <w:t>并作为其谈判应答文件的一部分。如果供应商为联合体</w:t>
      </w:r>
      <w:r>
        <w:rPr>
          <w:rFonts w:hint="eastAsia"/>
          <w:szCs w:val="21"/>
        </w:rPr>
        <w:t>，</w:t>
      </w:r>
      <w:r>
        <w:rPr>
          <w:rFonts w:hint="eastAsia"/>
          <w:szCs w:val="21"/>
          <w:lang w:eastAsia="zh-TW"/>
        </w:rPr>
        <w:t>应提交联合体各方的资格证明文件、</w:t>
      </w:r>
      <w:r>
        <w:rPr>
          <w:rFonts w:hint="eastAsia"/>
          <w:szCs w:val="21"/>
        </w:rPr>
        <w:t>共同谈判应答协议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将导致其谈判应答</w:t>
      </w:r>
      <w:r>
        <w:rPr>
          <w:rFonts w:hint="eastAsia"/>
          <w:szCs w:val="21"/>
        </w:rPr>
        <w:t>无效。</w:t>
      </w:r>
    </w:p>
    <w:p>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供应商提交的资格证明文件应证明其</w:t>
      </w:r>
      <w:r>
        <w:rPr>
          <w:rFonts w:hint="eastAsia"/>
          <w:szCs w:val="21"/>
        </w:rPr>
        <w:t>满足</w:t>
      </w:r>
      <w:r>
        <w:rPr>
          <w:rFonts w:hint="eastAsia"/>
          <w:szCs w:val="21"/>
          <w:lang w:eastAsia="zh-TW"/>
        </w:rPr>
        <w:t>本须知定义的合格供应商。</w:t>
      </w:r>
    </w:p>
    <w:p>
      <w:pPr>
        <w:tabs>
          <w:tab w:val="clear" w:pos="426"/>
        </w:tabs>
      </w:pPr>
      <w:r>
        <w:rPr>
          <w:rFonts w:hint="eastAsia"/>
        </w:rPr>
        <w:t>19.证明谈判应答文件谈判应答技术方案的合格性和符合单一来源采购文件规定的文件要求</w:t>
      </w:r>
    </w:p>
    <w:p>
      <w:pPr>
        <w:tabs>
          <w:tab w:val="clear" w:pos="426"/>
        </w:tabs>
      </w:pPr>
      <w:r>
        <w:rPr>
          <w:rFonts w:hint="eastAsia"/>
        </w:rPr>
        <w:t>19</w:t>
      </w:r>
      <w:r>
        <w:t xml:space="preserve">.1 </w:t>
      </w:r>
      <w:r>
        <w:rPr>
          <w:rFonts w:hint="eastAsia"/>
        </w:rPr>
        <w:t>供应商应提交证明文件证明其谈判应答技术方案项下的货物、工程和服务的合格性符合单一来源采购文件规定。该谈判应答技术方案及其证明文件作为谈判应答文件的一部分。</w:t>
      </w:r>
    </w:p>
    <w:p>
      <w:pPr>
        <w:tabs>
          <w:tab w:val="clear" w:pos="426"/>
        </w:tabs>
      </w:pPr>
      <w:r>
        <w:t>1</w:t>
      </w:r>
      <w:r>
        <w:rPr>
          <w:rFonts w:hint="eastAsia"/>
        </w:rPr>
        <w:t>9</w:t>
      </w:r>
      <w:r>
        <w:t xml:space="preserve">.2 </w:t>
      </w:r>
      <w:r>
        <w:rPr>
          <w:rFonts w:hint="eastAsia"/>
        </w:rPr>
        <w:t>供应商提供证明谈判应答技术方案与单一来源采购文件的要求相一致的文件，可以是文字资料、图纸、数据或数码照片、制造商公布的产品说明书、产品彩页和我国政府机构出具的产品检验和核准证件等，以证明供应商响应的真实性。它包括并应符合以下要求：</w:t>
      </w:r>
    </w:p>
    <w:p>
      <w:pPr>
        <w:tabs>
          <w:tab w:val="clear" w:pos="426"/>
        </w:tabs>
      </w:pPr>
      <w:r>
        <w:rPr>
          <w:rFonts w:hint="eastAsia"/>
        </w:rPr>
        <w:t>19.2.1主要技术指标和性能的详细说明。</w:t>
      </w:r>
    </w:p>
    <w:p>
      <w:pPr>
        <w:tabs>
          <w:tab w:val="clear" w:pos="426"/>
        </w:tabs>
      </w:pPr>
      <w:r>
        <w:rPr>
          <w:rFonts w:hint="eastAsia"/>
        </w:rPr>
        <w:t>19.2.</w:t>
      </w:r>
      <w:r>
        <w:t>2</w:t>
      </w:r>
      <w:r>
        <w:rPr>
          <w:rFonts w:hint="eastAsia"/>
        </w:rPr>
        <w:t>谈判应答产品从采购单位开始使用至单一来源采购文件中规定的周期内正常、连续地使用所必须的备件和专用工具清单，包括备件和专用工具的货源及现行价格。</w:t>
      </w:r>
    </w:p>
    <w:p>
      <w:pPr>
        <w:tabs>
          <w:tab w:val="clear" w:pos="426"/>
        </w:tabs>
      </w:pPr>
      <w:r>
        <w:rPr>
          <w:rFonts w:hint="eastAsia"/>
        </w:rPr>
        <w:t>19.2.</w:t>
      </w:r>
      <w:r>
        <w:t>3</w:t>
      </w:r>
      <w:r>
        <w:rPr>
          <w:rFonts w:hint="eastAsia"/>
        </w:rPr>
        <w:t>对照单一来源采购文件技术规格，逐条说明谈判应答技术方案已对采购单位的技术规格做出了实质性的响应，或申明与技术规格条文的偏差和例外。供应商应详细说明谈判应答技术方案中产品的具体参数，不得照搬照抄单一来源采购文件的技术要求。</w:t>
      </w:r>
    </w:p>
    <w:p>
      <w:pPr>
        <w:tabs>
          <w:tab w:val="clear" w:pos="426"/>
        </w:tabs>
      </w:pPr>
      <w:r>
        <w:rPr>
          <w:rFonts w:hint="eastAsia"/>
        </w:rPr>
        <w:t>19.2.4产品说明书或彩页应为制造商公布或出具的中文产品说明书或彩页；提供外文说明书或彩页的，必须同时提供加盖制造商公章的对应中文翻译说明，谈判依据以中文翻译内容为准，外文说明书或彩页仅供参考；产品说明书或彩页应能清晰的阅读、识别和判断；</w:t>
      </w:r>
    </w:p>
    <w:p>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pPr>
        <w:tabs>
          <w:tab w:val="clear" w:pos="426"/>
        </w:tabs>
      </w:pPr>
      <w:r>
        <w:rPr>
          <w:rFonts w:hint="eastAsia"/>
        </w:rPr>
        <w:t>19.3相关资料不符合19.2款要求的，谈判小组有权认定为谈判应答技术方案不合格响应，其相关分数予以扣减或作谈判应答无效处理。</w:t>
      </w:r>
    </w:p>
    <w:p>
      <w:pPr>
        <w:tabs>
          <w:tab w:val="clear" w:pos="426"/>
        </w:tabs>
      </w:pPr>
      <w:r>
        <w:rPr>
          <w:rFonts w:hint="eastAsia"/>
        </w:rPr>
        <w:t>19.4谈判小组有权对以谋取成交为目的的技术规格模糊响应（如有意照搬照抄单一来源采购文件的技术要求）或虚假响应予以认定。供应商上述行为一经发现或查实，除扣分或谈判应答无效外，采购代理机构可视情况报政府采购监督管理部门做进一步处理。</w:t>
      </w:r>
    </w:p>
    <w:p>
      <w:pPr>
        <w:tabs>
          <w:tab w:val="clear" w:pos="426"/>
        </w:tabs>
      </w:pPr>
      <w:r>
        <w:t>1</w:t>
      </w:r>
      <w:r>
        <w:rPr>
          <w:rFonts w:hint="eastAsia"/>
        </w:rPr>
        <w:t>9</w:t>
      </w:r>
      <w:r>
        <w:t>.</w:t>
      </w:r>
      <w:r>
        <w:rPr>
          <w:rFonts w:hint="eastAsia"/>
        </w:rPr>
        <w:t>5供应商在阐述上述第18.2时应注意采购单位在技术规格中指出的工艺、材料和设备的标准以及参照的牌号或分类号仅起说明作用，并没有任何限制性。供应商在谈判应答中可以选用替代标准、牌号或分类号，但这些替代要实质上满足单一来源采购文件中技术规格的要求，是否满足要求，由谈判小组来评判。</w:t>
      </w:r>
    </w:p>
    <w:p>
      <w:pPr>
        <w:tabs>
          <w:tab w:val="clear" w:pos="426"/>
        </w:tabs>
      </w:pPr>
      <w:r>
        <w:rPr>
          <w:rFonts w:hint="eastAsia"/>
        </w:rPr>
        <w:t>19.6为保证公平公正，除非另有规定或说明，供应商对同一货物或服务谈判应答时，不得同时提供两套或两套以上的谈判应答方案。</w:t>
      </w:r>
    </w:p>
    <w:p>
      <w:pPr>
        <w:tabs>
          <w:tab w:val="clear" w:pos="426"/>
        </w:tabs>
      </w:pPr>
      <w:r>
        <w:rPr>
          <w:rFonts w:hint="eastAsia"/>
        </w:rPr>
        <w:t>20.谈判应答文件其他证明文件的要求</w:t>
      </w:r>
    </w:p>
    <w:p>
      <w:pPr>
        <w:tabs>
          <w:tab w:val="clear" w:pos="426"/>
        </w:tabs>
      </w:pPr>
      <w:r>
        <w:rPr>
          <w:rFonts w:hint="eastAsia"/>
        </w:rPr>
        <w:t>20.1对项目单一来源采购文件《谈判信息》评分项中涉及的相关业绩、社保情况、纳税情况、银行资信等级和资金流状况等内容以及《谈判应答文件初审表》中涉及的资格证书，供应商应提供相关部门出具的证明材料原件复印件，原件备查。上述证明材料应为证件正面、背面和附件标注的全部具体内容；有关原件复印件应能清晰的阅读、识别和判断。若供应商未按要求提供证明材料或提供的是部分证明材料或提供不清晰的，谈判小组有权认定其谈判应答文件未对单一来源采购文件有关需求进行响应，涉及资格性检查或符合性检查的予以谈判应答无效处理，涉及《谈判信息》打分项的则该项评分予以0分处理。</w:t>
      </w:r>
    </w:p>
    <w:p>
      <w:pPr>
        <w:tabs>
          <w:tab w:val="clear" w:pos="426"/>
        </w:tabs>
      </w:pPr>
      <w:r>
        <w:rPr>
          <w:rFonts w:hint="eastAsia"/>
        </w:rPr>
        <w:t>20.2本项目涉及提供的有关资质证书，若原有资质证书处于年审期间，供应商提供年审证明的可按原资质谈判应答；若供应商正在申报上一级别资质，在未获批准之前，仍按原级别资质谈判应答。</w:t>
      </w:r>
    </w:p>
    <w:p>
      <w:pPr>
        <w:tabs>
          <w:tab w:val="clear" w:pos="426"/>
        </w:tabs>
      </w:pPr>
      <w:bookmarkStart w:id="182" w:name="_Toc73517658"/>
      <w:bookmarkStart w:id="183" w:name="_Toc60631639"/>
      <w:bookmarkStart w:id="184" w:name="_Toc73521654"/>
      <w:bookmarkStart w:id="185" w:name="_Toc73521566"/>
      <w:bookmarkStart w:id="186" w:name="_Toc73518136"/>
      <w:bookmarkStart w:id="187" w:name="_Toc100052383"/>
      <w:bookmarkStart w:id="188" w:name="_Toc60560644"/>
      <w:r>
        <w:rPr>
          <w:rFonts w:hint="eastAsia"/>
        </w:rPr>
        <w:t>21.谈判应答有效期</w:t>
      </w:r>
      <w:bookmarkEnd w:id="182"/>
      <w:bookmarkEnd w:id="183"/>
      <w:bookmarkEnd w:id="184"/>
      <w:bookmarkEnd w:id="185"/>
      <w:bookmarkEnd w:id="186"/>
      <w:bookmarkEnd w:id="187"/>
      <w:bookmarkEnd w:id="188"/>
    </w:p>
    <w:p>
      <w:pPr>
        <w:tabs>
          <w:tab w:val="clear" w:pos="426"/>
        </w:tabs>
      </w:pPr>
      <w:r>
        <w:rPr>
          <w:rFonts w:hint="eastAsia"/>
        </w:rPr>
        <w:t>21.1 谈判应答有效期为从谈判应答截止之日算起的日历天数，具体见专用条款中谈判应答有效期的天数要求。在此期限内，所有谈判应答文件均保持有效；</w:t>
      </w:r>
    </w:p>
    <w:p>
      <w:pPr>
        <w:tabs>
          <w:tab w:val="clear" w:pos="426"/>
        </w:tabs>
      </w:pPr>
      <w:r>
        <w:rPr>
          <w:rFonts w:hint="eastAsia"/>
        </w:rPr>
        <w:t>21.2 在特殊的情况下，采购代理机构在原定的谈判应答有效期满之前，采购代理机构可以根据需要以书面形式（包括网站公开发布方式）向供应商提出延长谈判应答有效期的要求，对此要求供应商须以书面形式予以答复，供应商可以拒绝采购代理机构此项要求，而不被没收谈判应答保证金，其谈判应答在原谈判应答有效期满后不再有效。同意延长谈判应答有效期的供应商不能要求也不允许修改其谈判应答文件，但应当相应的延长谈判应答担保的有效期，在延长的谈判应答有效期内本通用条款第22条关于谈判应答保证金的退还与没收的规定仍然适用；</w:t>
      </w:r>
    </w:p>
    <w:p>
      <w:pPr>
        <w:tabs>
          <w:tab w:val="clear" w:pos="426"/>
        </w:tabs>
      </w:pPr>
      <w:r>
        <w:rPr>
          <w:rFonts w:hint="eastAsia"/>
        </w:rPr>
        <w:t>21</w:t>
      </w:r>
      <w:r>
        <w:t>.3</w:t>
      </w:r>
      <w:r>
        <w:rPr>
          <w:rFonts w:hint="eastAsia"/>
        </w:rPr>
        <w:t>成交单位的谈判应答书有效期，截止于完成本单一来源采购文件规定的全部项目内容，并通过竣工验收及保修结束。</w:t>
      </w:r>
    </w:p>
    <w:p>
      <w:pPr>
        <w:tabs>
          <w:tab w:val="clear" w:pos="426"/>
        </w:tabs>
      </w:pPr>
      <w:bookmarkStart w:id="189" w:name="_Toc60560645"/>
      <w:bookmarkStart w:id="190" w:name="_Toc100052384"/>
      <w:bookmarkStart w:id="191" w:name="_Toc73521567"/>
      <w:bookmarkStart w:id="192" w:name="_Toc73518137"/>
      <w:bookmarkStart w:id="193" w:name="_Toc73517659"/>
      <w:bookmarkStart w:id="194" w:name="_Toc60631640"/>
      <w:bookmarkStart w:id="195" w:name="_Toc73521655"/>
      <w:r>
        <w:rPr>
          <w:rFonts w:hint="eastAsia"/>
        </w:rPr>
        <w:t>22.谈判应答</w:t>
      </w:r>
      <w:bookmarkEnd w:id="189"/>
      <w:bookmarkEnd w:id="190"/>
      <w:bookmarkEnd w:id="191"/>
      <w:bookmarkEnd w:id="192"/>
      <w:bookmarkEnd w:id="193"/>
      <w:bookmarkEnd w:id="194"/>
      <w:bookmarkEnd w:id="195"/>
      <w:r>
        <w:rPr>
          <w:rFonts w:hint="eastAsia"/>
        </w:rPr>
        <w:t>保证金</w:t>
      </w:r>
    </w:p>
    <w:p>
      <w:pPr>
        <w:tabs>
          <w:tab w:val="clear" w:pos="426"/>
        </w:tabs>
      </w:pPr>
      <w:bookmarkStart w:id="196" w:name="_Toc73517660"/>
      <w:bookmarkStart w:id="197" w:name="_Toc73518138"/>
      <w:bookmarkStart w:id="198" w:name="_Toc73521656"/>
      <w:bookmarkStart w:id="199" w:name="_Toc100052385"/>
      <w:bookmarkStart w:id="200" w:name="_Toc60560646"/>
      <w:bookmarkStart w:id="201" w:name="_Toc73521568"/>
      <w:bookmarkStart w:id="202" w:name="_Toc60631641"/>
      <w:r>
        <w:rPr>
          <w:rFonts w:hint="eastAsia"/>
        </w:rPr>
        <w:t>22.1谈判应答保证金的缴纳：</w:t>
      </w:r>
    </w:p>
    <w:p>
      <w:pPr>
        <w:tabs>
          <w:tab w:val="clear" w:pos="426"/>
        </w:tabs>
      </w:pPr>
      <w:r>
        <w:rPr>
          <w:rFonts w:hint="eastAsia"/>
        </w:rPr>
        <w:t>22.1.1缴纳谈判应答保证金的方式：参与谈判应答前须缴纳壹万元保证金，落标或成交项目完成后返还，参与谈判应答前未缴纳的，其谈判应答将不予受理。</w:t>
      </w:r>
    </w:p>
    <w:p>
      <w:pPr>
        <w:tabs>
          <w:tab w:val="clear" w:pos="426"/>
        </w:tabs>
      </w:pPr>
      <w:r>
        <w:rPr>
          <w:rFonts w:hint="eastAsia"/>
        </w:rPr>
        <w:t>22.1.2 若为重大项目，采购代理机构可自行决定另外收取谈判应答保证金，不受22</w:t>
      </w:r>
      <w:r>
        <w:t>.1</w:t>
      </w:r>
      <w:r>
        <w:rPr>
          <w:rFonts w:hint="eastAsia"/>
        </w:rPr>
        <w:t>.1款限制。是否另外收取谈判应答保证金，请见本单一来源采购文件专用条款《对通用条款的补充内容》中的相关要求。</w:t>
      </w:r>
    </w:p>
    <w:p>
      <w:pPr>
        <w:tabs>
          <w:tab w:val="clear" w:pos="426"/>
        </w:tabs>
        <w:rPr>
          <w:szCs w:val="21"/>
        </w:rPr>
      </w:pPr>
      <w:r>
        <w:rPr>
          <w:rFonts w:hint="eastAsia"/>
          <w:szCs w:val="21"/>
        </w:rPr>
        <w:t>22.2</w:t>
      </w:r>
      <w:r>
        <w:rPr>
          <w:rFonts w:hint="eastAsia"/>
        </w:rPr>
        <w:t>谈判应答保证金是为了保护采购代理机构和采购单位免因供应商的行为而蒙受损失。采购代理机构和采购单位因供应商的行为受到损害时可根据本通用条款第</w:t>
      </w:r>
      <w:r>
        <w:rPr>
          <w:rFonts w:hint="eastAsia"/>
          <w:szCs w:val="21"/>
        </w:rPr>
        <w:t>22.3款</w:t>
      </w:r>
      <w:r>
        <w:rPr>
          <w:rFonts w:hint="eastAsia"/>
        </w:rPr>
        <w:t>的规定没收供应商的谈判应答保证金。</w:t>
      </w:r>
    </w:p>
    <w:p>
      <w:pPr>
        <w:tabs>
          <w:tab w:val="clear" w:pos="426"/>
        </w:tabs>
      </w:pPr>
      <w:r>
        <w:rPr>
          <w:rFonts w:hint="eastAsia"/>
        </w:rPr>
        <w:t>22.3如下列任何情况发生时，谈判应答保证金将被没收。</w:t>
      </w:r>
    </w:p>
    <w:p>
      <w:pPr>
        <w:tabs>
          <w:tab w:val="clear" w:pos="426"/>
        </w:tabs>
      </w:pPr>
      <w:r>
        <w:rPr>
          <w:rFonts w:hint="eastAsia"/>
        </w:rPr>
        <w:t>1）供应商在单一来源采购文件中规定的谈判应答有效期内撤回其谈判应答；</w:t>
      </w:r>
    </w:p>
    <w:p>
      <w:pPr>
        <w:tabs>
          <w:tab w:val="clear" w:pos="426"/>
        </w:tabs>
      </w:pPr>
      <w:r>
        <w:rPr>
          <w:rFonts w:hint="eastAsia"/>
        </w:rPr>
        <w:t>2）成交人在规定期限内未能根据本项通用条款第47条规定签订合同；</w:t>
      </w:r>
    </w:p>
    <w:p>
      <w:pPr>
        <w:tabs>
          <w:tab w:val="clear" w:pos="426"/>
        </w:tabs>
      </w:pPr>
      <w:r>
        <w:rPr>
          <w:rFonts w:hint="eastAsia"/>
        </w:rPr>
        <w:t>3）供应商提供虚假谈判应答文件或虚假补充文件：</w:t>
      </w:r>
    </w:p>
    <w:p>
      <w:pPr>
        <w:tabs>
          <w:tab w:val="clear" w:pos="426"/>
        </w:tabs>
      </w:pPr>
      <w:r>
        <w:rPr>
          <w:rFonts w:hint="eastAsia"/>
        </w:rPr>
        <w:t>4）供应商以谋取成交为目的的技术规格模糊响应（如有意照搬照抄单一来源采购文件的技术要求）或虚假响应的；</w:t>
      </w:r>
    </w:p>
    <w:p>
      <w:pPr>
        <w:tabs>
          <w:tab w:val="clear" w:pos="426"/>
        </w:tabs>
      </w:pPr>
      <w:r>
        <w:rPr>
          <w:rFonts w:hint="eastAsia"/>
        </w:rPr>
        <w:t>5）供应商质疑投诉提供虚假情况。</w:t>
      </w:r>
    </w:p>
    <w:p>
      <w:pPr>
        <w:tabs>
          <w:tab w:val="clear" w:pos="426"/>
        </w:tabs>
      </w:pPr>
      <w:r>
        <w:rPr>
          <w:rFonts w:hint="eastAsia"/>
        </w:rPr>
        <w:t>22.4谈判应答保证金账户信息：</w:t>
      </w:r>
    </w:p>
    <w:p>
      <w:pPr>
        <w:tabs>
          <w:tab w:val="clear" w:pos="426"/>
        </w:tabs>
      </w:pPr>
      <w:r>
        <w:rPr>
          <w:rFonts w:hint="eastAsia"/>
        </w:rPr>
        <w:t>具体要求请详见本项目专用条款的相关内容。</w:t>
      </w:r>
    </w:p>
    <w:p>
      <w:pPr>
        <w:tabs>
          <w:tab w:val="clear" w:pos="426"/>
        </w:tabs>
      </w:pPr>
      <w:r>
        <w:rPr>
          <w:rFonts w:hint="eastAsia"/>
        </w:rPr>
        <w:t>23.供应商的替代方案</w:t>
      </w:r>
      <w:bookmarkEnd w:id="196"/>
      <w:bookmarkEnd w:id="197"/>
      <w:bookmarkEnd w:id="198"/>
      <w:bookmarkEnd w:id="199"/>
      <w:bookmarkEnd w:id="200"/>
      <w:bookmarkEnd w:id="201"/>
      <w:bookmarkEnd w:id="202"/>
    </w:p>
    <w:p>
      <w:pPr>
        <w:tabs>
          <w:tab w:val="clear" w:pos="426"/>
        </w:tabs>
      </w:pPr>
      <w:r>
        <w:rPr>
          <w:rFonts w:hint="eastAsia"/>
        </w:rPr>
        <w:t>23.1供应商所提交的谈判应答文件应完全满足单一来源采购文件（包括图纸和技术规范所示的基本技术设计）的要求。除非单一来源采购的项目明确允许供应商提交替代方案，否则供应商有关替代方案的条款将不予考虑。</w:t>
      </w:r>
    </w:p>
    <w:p>
      <w:pPr>
        <w:tabs>
          <w:tab w:val="clear" w:pos="426"/>
        </w:tabs>
      </w:pPr>
      <w:r>
        <w:rPr>
          <w:rFonts w:hint="eastAsia"/>
        </w:rPr>
        <w:t>23.2 如果允许供应商提交替代方案，则准备提交替代方案的供应商除应提交一份满足单一来源采购文件（包括图纸和技术规范所示的基本技术设计）要求的谈判应答文件外，还应提交需评审其替代方案所需的全部资料，包括项目方案书、技术规范、替代方案报价书、所建议的项目方案及有关的其它详细资料。</w:t>
      </w:r>
      <w:bookmarkStart w:id="203" w:name="_Toc101074881"/>
      <w:bookmarkStart w:id="204" w:name="_Toc73521662"/>
      <w:bookmarkStart w:id="205" w:name="_Toc100052391"/>
      <w:bookmarkStart w:id="206" w:name="_Toc73517666"/>
      <w:bookmarkStart w:id="207" w:name="_Toc73521574"/>
      <w:bookmarkStart w:id="208" w:name="_Toc73518144"/>
    </w:p>
    <w:p>
      <w:pPr>
        <w:tabs>
          <w:tab w:val="clear" w:pos="426"/>
        </w:tabs>
      </w:pPr>
      <w:bookmarkStart w:id="209" w:name="_Toc201401576"/>
      <w:bookmarkStart w:id="210" w:name="_Toc148778157"/>
      <w:bookmarkStart w:id="211" w:name="_Toc148954859"/>
      <w:bookmarkStart w:id="212" w:name="_Toc148954464"/>
      <w:bookmarkStart w:id="213" w:name="_Toc135666815"/>
      <w:bookmarkStart w:id="214" w:name="_Toc98817934"/>
      <w:bookmarkStart w:id="215" w:name="_Toc201997835"/>
      <w:bookmarkStart w:id="216" w:name="_Toc157847820"/>
      <w:bookmarkStart w:id="217" w:name="_Toc135666628"/>
      <w:bookmarkStart w:id="218" w:name="_Toc188869280"/>
      <w:bookmarkStart w:id="219" w:name="_Toc148329801"/>
      <w:bookmarkStart w:id="220" w:name="_Toc143658455"/>
      <w:bookmarkStart w:id="221" w:name="_Toc163530302"/>
      <w:bookmarkStart w:id="222" w:name="_Toc148779952"/>
      <w:bookmarkStart w:id="223" w:name="_Toc148413300"/>
      <w:bookmarkStart w:id="224" w:name="_Toc148780238"/>
      <w:bookmarkStart w:id="225" w:name="_Toc134852021"/>
      <w:bookmarkStart w:id="226" w:name="_Toc187729580"/>
      <w:bookmarkStart w:id="227" w:name="_Toc201401384"/>
      <w:r>
        <w:rPr>
          <w:rFonts w:hint="eastAsia"/>
        </w:rPr>
        <w:t>24.谈判应答文件的密封、标记</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Fonts w:hint="eastAsia"/>
        </w:rPr>
        <w:t>和装订</w:t>
      </w:r>
    </w:p>
    <w:p>
      <w:pPr>
        <w:widowControl w:val="0"/>
        <w:shd w:val="clear" w:color="auto" w:fill="auto"/>
        <w:tabs>
          <w:tab w:val="clear" w:pos="426"/>
        </w:tabs>
        <w:autoSpaceDE w:val="0"/>
        <w:autoSpaceDN w:val="0"/>
      </w:pPr>
      <w:r>
        <w:rPr>
          <w:rFonts w:hint="eastAsia"/>
        </w:rPr>
        <w:t>24.1供应商应按本谈判应答须知有关规定编制“前附表”规定份数的谈判应答文件。正本和副本如有不一致之处，以正本为准。谈判应答文件均应使用不褪色的墨打印或编制（书面），字迹应清晰易于辨认。谈判应答文件要求编制正副本的，应在谈判应答文件封面注明</w:t>
      </w:r>
      <w:r>
        <w:rPr>
          <w:rFonts w:hint="eastAsia"/>
          <w:szCs w:val="21"/>
        </w:rPr>
        <w:t>目编号、单一来源采购项目名称及</w:t>
      </w:r>
      <w:r>
        <w:rPr>
          <w:rFonts w:hint="eastAsia"/>
        </w:rPr>
        <w:t>“正本”或“副本”。正本和副本如有不一致之处，以正本为准。</w:t>
      </w:r>
      <w:r>
        <w:rPr>
          <w:rFonts w:hint="eastAsia"/>
          <w:szCs w:val="21"/>
        </w:rPr>
        <w:t>谈判应答文件的所有内容应按</w:t>
      </w:r>
      <w:r>
        <w:rPr>
          <w:szCs w:val="21"/>
        </w:rPr>
        <w:t>A4篇幅装订成一册，装订应牢固不可拆卸。</w:t>
      </w:r>
      <w:r>
        <w:rPr>
          <w:rFonts w:hint="eastAsia"/>
        </w:rPr>
        <w:t>装订好的谈判应答文件密封包装在一个外密封袋中，并在外密封袋上注明：</w:t>
      </w:r>
    </w:p>
    <w:p>
      <w:pPr>
        <w:tabs>
          <w:tab w:val="clear" w:pos="426"/>
        </w:tabs>
      </w:pPr>
      <w:r>
        <w:rPr>
          <w:rFonts w:hint="eastAsia"/>
        </w:rPr>
        <w:t>谈判应答文件</w:t>
      </w:r>
    </w:p>
    <w:p>
      <w:pPr>
        <w:tabs>
          <w:tab w:val="clear" w:pos="426"/>
        </w:tabs>
      </w:pPr>
      <w:r>
        <w:rPr>
          <w:rFonts w:hint="eastAsia"/>
        </w:rPr>
        <w:t>项目编号：</w:t>
      </w:r>
    </w:p>
    <w:p>
      <w:pPr>
        <w:tabs>
          <w:tab w:val="clear" w:pos="426"/>
        </w:tabs>
      </w:pPr>
      <w:r>
        <w:rPr>
          <w:rFonts w:hint="eastAsia"/>
        </w:rPr>
        <w:t>项目名称：</w:t>
      </w:r>
    </w:p>
    <w:p>
      <w:pPr>
        <w:tabs>
          <w:tab w:val="clear" w:pos="426"/>
        </w:tabs>
      </w:pPr>
      <w:r>
        <w:rPr>
          <w:rFonts w:hint="eastAsia"/>
        </w:rPr>
        <w:t>供应商名称（盖章）：</w:t>
      </w:r>
    </w:p>
    <w:p>
      <w:pPr>
        <w:tabs>
          <w:tab w:val="clear" w:pos="426"/>
        </w:tabs>
      </w:pPr>
      <w:r>
        <w:rPr>
          <w:rFonts w:hint="eastAsia"/>
        </w:rPr>
        <w:t>谈判应答截止时间：</w:t>
      </w:r>
      <w:r>
        <w:rPr>
          <w:rFonts w:hint="eastAsia"/>
          <w:u w:val="single"/>
        </w:rPr>
        <w:t xml:space="preserve">       年      月      日      时      分（前不得开封）。</w:t>
      </w:r>
    </w:p>
    <w:p>
      <w:pPr>
        <w:tabs>
          <w:tab w:val="clear" w:pos="426"/>
        </w:tabs>
      </w:pPr>
      <w:r>
        <w:rPr>
          <w:rFonts w:hint="eastAsia"/>
        </w:rPr>
        <w:t>24.2  所有谈判应答文件的密封袋的封口处均应加盖供应商公章。</w:t>
      </w:r>
    </w:p>
    <w:p>
      <w:pPr>
        <w:tabs>
          <w:tab w:val="clear" w:pos="426"/>
        </w:tabs>
        <w:rPr>
          <w:color w:val="000000"/>
          <w:szCs w:val="21"/>
        </w:rPr>
      </w:pPr>
      <w:r>
        <w:rPr>
          <w:rFonts w:hint="eastAsia"/>
        </w:rPr>
        <w:t xml:space="preserve">24.3  </w:t>
      </w:r>
      <w:r>
        <w:rPr>
          <w:rFonts w:hint="eastAsia"/>
          <w:color w:val="000000"/>
          <w:szCs w:val="21"/>
        </w:rPr>
        <w:t>谈判应答文件密封及封面，均应加盖供应商印章并经法定代表或其委托代理人签字或盖章。</w:t>
      </w:r>
    </w:p>
    <w:p>
      <w:pPr>
        <w:tabs>
          <w:tab w:val="clear" w:pos="426"/>
        </w:tabs>
        <w:rPr>
          <w:color w:val="000000"/>
          <w:szCs w:val="21"/>
        </w:rPr>
      </w:pPr>
      <w:r>
        <w:rPr>
          <w:rFonts w:hint="eastAsia"/>
          <w:color w:val="000000"/>
          <w:szCs w:val="21"/>
        </w:rPr>
        <w:t xml:space="preserve">24.4  </w:t>
      </w:r>
      <w:r>
        <w:rPr>
          <w:color w:val="000000"/>
          <w:szCs w:val="21"/>
        </w:rPr>
        <w:t>除供应商对错误处必须修改外，全套谈判应答文件应无涂改或行间插字，修改处应由供应商加盖供应商的校对章或由谈判应答文件签字人签字证明并加盖印章。</w:t>
      </w:r>
    </w:p>
    <w:p>
      <w:pPr>
        <w:tabs>
          <w:tab w:val="clear" w:pos="426"/>
        </w:tabs>
      </w:pPr>
      <w:r>
        <w:rPr>
          <w:rFonts w:hint="eastAsia"/>
        </w:rPr>
        <w:t>24.4  对于因谈判应答标识不清、装订不牢、密封不严等导致的不利后果由该供应商自负。</w:t>
      </w:r>
    </w:p>
    <w:p>
      <w:pPr>
        <w:tabs>
          <w:tab w:val="clear" w:pos="426"/>
        </w:tabs>
        <w:rPr>
          <w:color w:val="000000"/>
          <w:szCs w:val="21"/>
        </w:rPr>
      </w:pPr>
      <w:r>
        <w:rPr>
          <w:rFonts w:hint="eastAsia"/>
          <w:color w:val="000000"/>
          <w:szCs w:val="21"/>
        </w:rPr>
        <w:t>24.5谈判应答方应将谈判应答文件按24.1-24.4中的规定进行密封和标记后，按专用条款中采购公告注明的地址送至单一来源采购机构。</w:t>
      </w:r>
    </w:p>
    <w:p>
      <w:pPr>
        <w:tabs>
          <w:tab w:val="clear" w:pos="426"/>
        </w:tabs>
        <w:rPr>
          <w:color w:val="000000"/>
          <w:szCs w:val="21"/>
        </w:rPr>
      </w:pPr>
      <w:r>
        <w:rPr>
          <w:rFonts w:hint="eastAsia"/>
          <w:color w:val="000000"/>
          <w:szCs w:val="21"/>
        </w:rPr>
        <w:t>24.6  邮寄、电报、电话、传真形式的谈判应答概不接受。</w:t>
      </w:r>
    </w:p>
    <w:p>
      <w:pPr>
        <w:tabs>
          <w:tab w:val="clear" w:pos="426"/>
        </w:tabs>
        <w:rPr>
          <w:b/>
          <w:bCs/>
          <w:color w:val="000000"/>
          <w:szCs w:val="21"/>
        </w:rPr>
      </w:pPr>
      <w:r>
        <w:rPr>
          <w:rFonts w:hint="eastAsia"/>
          <w:b/>
          <w:color w:val="000000"/>
          <w:szCs w:val="21"/>
        </w:rPr>
        <w:t>24.7</w:t>
      </w:r>
      <w:r>
        <w:rPr>
          <w:rFonts w:hint="eastAsia"/>
          <w:b/>
          <w:bCs/>
          <w:color w:val="000000"/>
          <w:szCs w:val="21"/>
        </w:rPr>
        <w:t>谈判应答文件电子版：电子光盘一张（谈判应答文件正本盖章后的彩色扫描件，扫描件要求为PDF格式），请在光盘上标明项目编号、项目名称及供应商名称。</w:t>
      </w:r>
    </w:p>
    <w:p>
      <w:pPr>
        <w:tabs>
          <w:tab w:val="clear" w:pos="426"/>
        </w:tabs>
        <w:rPr>
          <w:b/>
          <w:bCs/>
          <w:color w:val="000000"/>
          <w:szCs w:val="21"/>
        </w:rPr>
      </w:pPr>
      <w:r>
        <w:rPr>
          <w:rFonts w:hint="eastAsia"/>
          <w:color w:val="000000"/>
          <w:szCs w:val="21"/>
        </w:rPr>
        <w:t>24.8  供应商提供的谈判应答文件中相关证书、证件等资料必须保证真实、有效。谈判过程中，公证、评审委员会有权要求供应商提供相关原件进行验证。供应商不能及时提供的，视为无效资料。参加谈判初始报价及谈判仪式时，供应商应携带相关原件到场备查。</w:t>
      </w:r>
    </w:p>
    <w:p>
      <w:pPr>
        <w:tabs>
          <w:tab w:val="clear" w:pos="426"/>
        </w:tabs>
        <w:rPr>
          <w:color w:val="000000"/>
          <w:szCs w:val="21"/>
        </w:rPr>
      </w:pPr>
      <w:r>
        <w:rPr>
          <w:rFonts w:hint="eastAsia"/>
          <w:color w:val="000000"/>
          <w:szCs w:val="21"/>
        </w:rPr>
        <w:t>25.谈判应答截止时间</w:t>
      </w:r>
    </w:p>
    <w:p>
      <w:pPr>
        <w:tabs>
          <w:tab w:val="clear" w:pos="426"/>
        </w:tabs>
        <w:ind w:firstLine="424" w:firstLineChars="202"/>
        <w:rPr>
          <w:szCs w:val="21"/>
        </w:rPr>
      </w:pPr>
      <w:r>
        <w:rPr>
          <w:rFonts w:hint="eastAsia"/>
          <w:szCs w:val="21"/>
        </w:rPr>
        <w:t>采购代理机构在规定的地址收到谈判应答书的时间不得迟于“邀请单一来源采购公告”所规定的时间。</w:t>
      </w:r>
    </w:p>
    <w:p>
      <w:pPr>
        <w:tabs>
          <w:tab w:val="clear" w:pos="426"/>
        </w:tabs>
        <w:rPr>
          <w:color w:val="000000"/>
          <w:szCs w:val="21"/>
        </w:rPr>
      </w:pPr>
      <w:r>
        <w:rPr>
          <w:rFonts w:hint="eastAsia"/>
          <w:color w:val="000000"/>
          <w:szCs w:val="21"/>
        </w:rPr>
        <w:t>26.迟交的谈判应答书</w:t>
      </w:r>
    </w:p>
    <w:p>
      <w:pPr>
        <w:tabs>
          <w:tab w:val="clear" w:pos="426"/>
        </w:tabs>
        <w:rPr>
          <w:color w:val="000000"/>
          <w:szCs w:val="21"/>
        </w:rPr>
      </w:pPr>
      <w:r>
        <w:rPr>
          <w:rFonts w:hint="eastAsia"/>
          <w:color w:val="000000"/>
          <w:szCs w:val="21"/>
        </w:rPr>
        <w:t xml:space="preserve">    按照本通用条款第25条规定，单一来源采购机构将拒绝并原封退回在其规定的谈判应答截止期后收到的任何谈判应答书。</w:t>
      </w:r>
    </w:p>
    <w:p>
      <w:pPr>
        <w:tabs>
          <w:tab w:val="clear" w:pos="426"/>
        </w:tabs>
      </w:pPr>
      <w:r>
        <w:rPr>
          <w:rFonts w:hint="eastAsia"/>
        </w:rPr>
        <w:t>27.谈判应答文件的提交和谈判应答截止时谈判应答文件的数量要求</w:t>
      </w:r>
    </w:p>
    <w:p>
      <w:pPr>
        <w:tabs>
          <w:tab w:val="clear" w:pos="426"/>
        </w:tabs>
      </w:pPr>
      <w:r>
        <w:rPr>
          <w:rFonts w:hint="eastAsia"/>
        </w:rPr>
        <w:t>27.1  谈判应答截止时间和地点。供应商应根据“专用条款”的规定，在谈判应答截止时间前将谈判应答文件密封送达指定地点。未及时送达指定地点及不符合密封、标记、签章、装订要求的谈判应答文件采购代理机构将拒绝接收。</w:t>
      </w:r>
    </w:p>
    <w:p>
      <w:pPr>
        <w:tabs>
          <w:tab w:val="clear" w:pos="426"/>
        </w:tabs>
      </w:pPr>
      <w:r>
        <w:rPr>
          <w:rFonts w:hint="eastAsia"/>
        </w:rPr>
        <w:t xml:space="preserve">27.2  </w:t>
      </w:r>
      <w:r>
        <w:t>谈判应答截止时</w:t>
      </w:r>
      <w:r>
        <w:rPr>
          <w:rFonts w:hint="eastAsia"/>
        </w:rPr>
        <w:t>递</w:t>
      </w:r>
      <w:r>
        <w:t>交谈判应答的供应商数</w:t>
      </w:r>
      <w:r>
        <w:rPr>
          <w:rFonts w:hint="eastAsia"/>
        </w:rPr>
        <w:t>量未达到法定家数的，采购代理机构将按法律法规的规定暂停</w:t>
      </w:r>
      <w:r>
        <w:t>谈判初始报价和谈判程序</w:t>
      </w:r>
      <w:r>
        <w:rPr>
          <w:rFonts w:hint="eastAsia"/>
        </w:rPr>
        <w:t>。如导致单一来源采购失败，采购人或采购代理机构将不负担因此给</w:t>
      </w:r>
      <w:r>
        <w:t>供应商</w:t>
      </w:r>
      <w:r>
        <w:rPr>
          <w:rFonts w:hint="eastAsia"/>
        </w:rPr>
        <w:t>造成的损失。</w:t>
      </w:r>
    </w:p>
    <w:p>
      <w:pPr>
        <w:tabs>
          <w:tab w:val="clear" w:pos="426"/>
        </w:tabs>
      </w:pPr>
      <w:bookmarkStart w:id="228" w:name="_Toc148413303"/>
      <w:bookmarkStart w:id="229" w:name="_Toc163530305"/>
      <w:bookmarkStart w:id="230" w:name="_Toc148329804"/>
      <w:bookmarkStart w:id="231" w:name="_Toc201401578"/>
      <w:bookmarkStart w:id="232" w:name="_Toc135666631"/>
      <w:bookmarkStart w:id="233" w:name="_Toc148780241"/>
      <w:bookmarkStart w:id="234" w:name="_Toc148778160"/>
      <w:bookmarkStart w:id="235" w:name="_Toc201401386"/>
      <w:bookmarkStart w:id="236" w:name="_Toc148779955"/>
      <w:bookmarkStart w:id="237" w:name="_Toc157847823"/>
      <w:bookmarkStart w:id="238" w:name="_Toc148954467"/>
      <w:bookmarkStart w:id="239" w:name="_Toc134852024"/>
      <w:bookmarkStart w:id="240" w:name="_Toc188869283"/>
      <w:bookmarkStart w:id="241" w:name="_Toc143658458"/>
      <w:bookmarkStart w:id="242" w:name="_Toc187729583"/>
      <w:bookmarkStart w:id="243" w:name="_Toc98817937"/>
      <w:bookmarkStart w:id="244" w:name="_Toc201997837"/>
      <w:bookmarkStart w:id="245" w:name="_Toc148954862"/>
      <w:bookmarkStart w:id="246" w:name="_Toc135666818"/>
      <w:r>
        <w:rPr>
          <w:rFonts w:hint="eastAsia"/>
        </w:rPr>
        <w:t>28.谈判应答文件的修改或撤回</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tabs>
          <w:tab w:val="clear" w:pos="426"/>
        </w:tabs>
      </w:pPr>
      <w:r>
        <w:rPr>
          <w:rFonts w:hint="eastAsia"/>
        </w:rPr>
        <w:t>28.1  供应商已提交谈判应答文件，规定的谈判应答</w:t>
      </w:r>
      <w:r>
        <w:t>截止</w:t>
      </w:r>
      <w:r>
        <w:rPr>
          <w:rFonts w:hint="eastAsia"/>
        </w:rPr>
        <w:t>时间还未到，供应商可提出对其谈判应答文件的修改或撤回。供应商须提交由供应商代表签名的修改或撤回的书面通知。</w:t>
      </w:r>
    </w:p>
    <w:p>
      <w:pPr>
        <w:tabs>
          <w:tab w:val="clear" w:pos="426"/>
        </w:tabs>
      </w:pPr>
      <w:r>
        <w:rPr>
          <w:rFonts w:hint="eastAsia"/>
        </w:rPr>
        <w:t>28.2  采购代理机构收到由供应商代表签名的修改或撤回的书面通知并确认后，供应商可对其谈判应答文件进行修改，或是撤回其谈判应答。</w:t>
      </w:r>
    </w:p>
    <w:p>
      <w:pPr>
        <w:tabs>
          <w:tab w:val="clear" w:pos="426"/>
        </w:tabs>
      </w:pPr>
      <w:bookmarkStart w:id="247" w:name="_Toc188869284"/>
      <w:r>
        <w:rPr>
          <w:rFonts w:hint="eastAsia"/>
        </w:rPr>
        <w:t>28.3  供应商的修改文件应按照本单一来源采购文件的规定进行编制、密封、标记和提交，并在密封袋上注明“谈判应答修改”。</w:t>
      </w:r>
    </w:p>
    <w:p>
      <w:pPr>
        <w:tabs>
          <w:tab w:val="clear" w:pos="426"/>
        </w:tabs>
      </w:pPr>
      <w:r>
        <w:rPr>
          <w:rFonts w:hint="eastAsia"/>
        </w:rPr>
        <w:t>28.4  谈判应答截止时间之后至谈判应答文件有效期终止之前，供应商不得要求撤回其谈判应答。在此期间撤回谈判应答的，其谈判应答担保将会被没收。</w:t>
      </w:r>
    </w:p>
    <w:p>
      <w:pPr>
        <w:tabs>
          <w:tab w:val="clear" w:pos="426"/>
        </w:tabs>
      </w:pPr>
      <w:r>
        <w:rPr>
          <w:rFonts w:hint="eastAsia"/>
        </w:rPr>
        <w:t>28.5  谈判结束后，不论成交与否，供应商均不得收回谈判应答文件。</w:t>
      </w:r>
    </w:p>
    <w:bookmarkEnd w:id="203"/>
    <w:bookmarkEnd w:id="204"/>
    <w:bookmarkEnd w:id="205"/>
    <w:bookmarkEnd w:id="206"/>
    <w:bookmarkEnd w:id="207"/>
    <w:bookmarkEnd w:id="208"/>
    <w:bookmarkEnd w:id="247"/>
    <w:p>
      <w:pPr>
        <w:keepNext/>
        <w:keepLines/>
        <w:tabs>
          <w:tab w:val="clear" w:pos="426"/>
        </w:tabs>
        <w:spacing w:before="260" w:after="260" w:line="240" w:lineRule="auto"/>
        <w:textAlignment w:val="baseline"/>
        <w:outlineLvl w:val="1"/>
        <w:rPr>
          <w:rFonts w:cs="Times New Roman"/>
          <w:b/>
          <w:sz w:val="24"/>
          <w:szCs w:val="20"/>
        </w:rPr>
      </w:pPr>
      <w:bookmarkStart w:id="248" w:name="_Toc73521576"/>
      <w:bookmarkStart w:id="249" w:name="_Toc73517668"/>
      <w:bookmarkStart w:id="250" w:name="_Toc73518146"/>
      <w:bookmarkStart w:id="251" w:name="_Toc73521664"/>
      <w:bookmarkStart w:id="252" w:name="_Toc100052393"/>
      <w:bookmarkStart w:id="253" w:name="_Toc101074882"/>
      <w:bookmarkStart w:id="254" w:name="_Toc47111232"/>
      <w:bookmarkStart w:id="255" w:name="_Toc432592825"/>
      <w:bookmarkStart w:id="256" w:name="_Toc96519546"/>
      <w:bookmarkStart w:id="257" w:name="_Toc398220533"/>
      <w:r>
        <w:rPr>
          <w:rFonts w:hint="eastAsia" w:cs="Times New Roman"/>
          <w:b/>
          <w:sz w:val="24"/>
          <w:szCs w:val="20"/>
        </w:rPr>
        <w:t xml:space="preserve">第四章 </w:t>
      </w:r>
      <w:bookmarkEnd w:id="248"/>
      <w:bookmarkEnd w:id="249"/>
      <w:bookmarkEnd w:id="250"/>
      <w:bookmarkEnd w:id="251"/>
      <w:r>
        <w:rPr>
          <w:rFonts w:hint="eastAsia" w:cs="Times New Roman"/>
          <w:b/>
          <w:sz w:val="24"/>
          <w:szCs w:val="20"/>
        </w:rPr>
        <w:t>谈判要求</w:t>
      </w:r>
      <w:bookmarkEnd w:id="252"/>
      <w:bookmarkEnd w:id="253"/>
      <w:bookmarkEnd w:id="254"/>
      <w:bookmarkEnd w:id="255"/>
      <w:bookmarkEnd w:id="256"/>
      <w:bookmarkEnd w:id="257"/>
    </w:p>
    <w:p>
      <w:pPr>
        <w:tabs>
          <w:tab w:val="clear" w:pos="426"/>
        </w:tabs>
      </w:pPr>
      <w:bookmarkStart w:id="258" w:name="bt评标会议"/>
      <w:bookmarkEnd w:id="258"/>
      <w:bookmarkStart w:id="259" w:name="_Toc73517669"/>
      <w:bookmarkStart w:id="260" w:name="_Toc73521577"/>
      <w:bookmarkStart w:id="261" w:name="_Toc100052394"/>
      <w:bookmarkStart w:id="262" w:name="_Toc73521665"/>
      <w:bookmarkStart w:id="263" w:name="_Toc73518147"/>
      <w:r>
        <w:rPr>
          <w:rFonts w:hint="eastAsia"/>
        </w:rPr>
        <w:t>30</w:t>
      </w:r>
      <w:r>
        <w:t>谈判小组与评审</w:t>
      </w:r>
    </w:p>
    <w:p>
      <w:pPr>
        <w:tabs>
          <w:tab w:val="clear" w:pos="426"/>
        </w:tabs>
      </w:pPr>
      <w:r>
        <w:rPr>
          <w:rFonts w:hint="eastAsia"/>
        </w:rPr>
        <w:t>30</w:t>
      </w:r>
      <w:r>
        <w:t>.1谈判小组由其委托的采购代理人依法组建，谈判小组负责评审活动。</w:t>
      </w:r>
    </w:p>
    <w:p>
      <w:pPr>
        <w:tabs>
          <w:tab w:val="clear" w:pos="426"/>
        </w:tabs>
      </w:pPr>
      <w:r>
        <w:rPr>
          <w:rFonts w:hint="eastAsia"/>
        </w:rPr>
        <w:t>30.</w:t>
      </w:r>
      <w:r>
        <w:t>2谈判会议结束后，开始评审，评审采用保密方式进行。</w:t>
      </w:r>
    </w:p>
    <w:p>
      <w:pPr>
        <w:tabs>
          <w:tab w:val="clear" w:pos="426"/>
        </w:tabs>
      </w:pPr>
      <w:r>
        <w:rPr>
          <w:rFonts w:hint="eastAsia"/>
        </w:rPr>
        <w:t>31</w:t>
      </w:r>
      <w:r>
        <w:t>评审过程的保密</w:t>
      </w:r>
    </w:p>
    <w:p>
      <w:pPr>
        <w:tabs>
          <w:tab w:val="clear" w:pos="426"/>
        </w:tabs>
      </w:pPr>
      <w:r>
        <w:rPr>
          <w:rFonts w:hint="eastAsia"/>
        </w:rPr>
        <w:t>31</w:t>
      </w:r>
      <w:r>
        <w:t>.1直到签订合同协议书为止，凡有关对谈判应答文件的审查、澄清和谈判工作，都应在保密的情况下进行，任何有关信息和资料，均不得向供应商或与上述工作无关的人员泄露。</w:t>
      </w:r>
    </w:p>
    <w:p>
      <w:pPr>
        <w:tabs>
          <w:tab w:val="clear" w:pos="426"/>
        </w:tabs>
      </w:pPr>
      <w:r>
        <w:rPr>
          <w:rFonts w:hint="eastAsia"/>
        </w:rPr>
        <w:t>31</w:t>
      </w:r>
      <w:r>
        <w:t>.2在谈判应答文件的评审和比较以及授予合同的过程中，供应商向采购人和谈判小组施加影响的任何行为，都将会导致其谈判应答被拒绝。</w:t>
      </w:r>
    </w:p>
    <w:p>
      <w:pPr>
        <w:tabs>
          <w:tab w:val="clear" w:pos="426"/>
        </w:tabs>
      </w:pPr>
      <w:r>
        <w:rPr>
          <w:rFonts w:hint="eastAsia"/>
        </w:rPr>
        <w:t>31</w:t>
      </w:r>
      <w:r>
        <w:t>.3成交供应商确定后，采购人和代理机构不对未成交的供应商就评审过程以及未能成交原因作出任何解释。未成交供应商不得向谈判小组成员或其他有关人员索问评审过程的情况和材料。</w:t>
      </w:r>
    </w:p>
    <w:bookmarkEnd w:id="259"/>
    <w:bookmarkEnd w:id="260"/>
    <w:bookmarkEnd w:id="261"/>
    <w:bookmarkEnd w:id="262"/>
    <w:bookmarkEnd w:id="263"/>
    <w:p>
      <w:pPr>
        <w:keepNext/>
        <w:keepLines/>
        <w:tabs>
          <w:tab w:val="clear" w:pos="426"/>
        </w:tabs>
        <w:spacing w:before="260" w:after="260" w:line="240" w:lineRule="auto"/>
        <w:textAlignment w:val="baseline"/>
        <w:outlineLvl w:val="1"/>
        <w:rPr>
          <w:rFonts w:cs="Times New Roman"/>
          <w:b/>
          <w:sz w:val="24"/>
          <w:szCs w:val="20"/>
        </w:rPr>
      </w:pPr>
      <w:bookmarkStart w:id="264" w:name="_Toc47111233"/>
      <w:bookmarkStart w:id="265" w:name="_Toc96519547"/>
      <w:bookmarkStart w:id="266" w:name="_Toc398220534"/>
      <w:bookmarkStart w:id="267" w:name="_Toc100052397"/>
      <w:bookmarkStart w:id="268" w:name="_Toc101074883"/>
      <w:bookmarkStart w:id="269" w:name="_Toc432592826"/>
      <w:r>
        <w:rPr>
          <w:rFonts w:hint="eastAsia" w:cs="Times New Roman"/>
          <w:b/>
          <w:sz w:val="24"/>
          <w:szCs w:val="20"/>
        </w:rPr>
        <w:t>第五章 谈判程序</w:t>
      </w:r>
      <w:bookmarkStart w:id="270" w:name="bt投标文件的审查"/>
      <w:bookmarkEnd w:id="270"/>
      <w:bookmarkStart w:id="271" w:name="_Toc73521667"/>
      <w:bookmarkStart w:id="272" w:name="_Toc73521579"/>
      <w:bookmarkStart w:id="273" w:name="_Toc73518149"/>
      <w:bookmarkStart w:id="274" w:name="_Toc73517671"/>
      <w:r>
        <w:rPr>
          <w:rFonts w:hint="eastAsia" w:cs="Times New Roman"/>
          <w:b/>
          <w:sz w:val="24"/>
          <w:szCs w:val="20"/>
        </w:rPr>
        <w:t>及谈判方法</w:t>
      </w:r>
      <w:bookmarkEnd w:id="264"/>
      <w:bookmarkEnd w:id="265"/>
      <w:bookmarkEnd w:id="266"/>
      <w:bookmarkEnd w:id="267"/>
      <w:bookmarkEnd w:id="268"/>
      <w:bookmarkEnd w:id="269"/>
    </w:p>
    <w:p>
      <w:pPr>
        <w:tabs>
          <w:tab w:val="clear" w:pos="426"/>
        </w:tabs>
      </w:pPr>
      <w:bookmarkStart w:id="275" w:name="_Toc100052398"/>
      <w:r>
        <w:rPr>
          <w:rFonts w:hint="eastAsia"/>
        </w:rPr>
        <w:t>32.谈判应答文件初审</w:t>
      </w:r>
      <w:bookmarkEnd w:id="275"/>
    </w:p>
    <w:bookmarkEnd w:id="271"/>
    <w:bookmarkEnd w:id="272"/>
    <w:bookmarkEnd w:id="273"/>
    <w:bookmarkEnd w:id="274"/>
    <w:p>
      <w:pPr>
        <w:widowControl w:val="0"/>
        <w:shd w:val="clear" w:color="auto" w:fill="auto"/>
        <w:tabs>
          <w:tab w:val="clear" w:pos="426"/>
        </w:tabs>
        <w:autoSpaceDE w:val="0"/>
        <w:autoSpaceDN w:val="0"/>
        <w:rPr>
          <w:rFonts w:cs="黑体"/>
          <w:b/>
          <w:bCs/>
          <w:szCs w:val="21"/>
        </w:rPr>
      </w:pPr>
      <w:r>
        <w:rPr>
          <w:rFonts w:hint="eastAsia"/>
        </w:rPr>
        <w:t>32.1</w:t>
      </w:r>
      <w:r>
        <w:rPr>
          <w:rFonts w:hint="eastAsia"/>
          <w:szCs w:val="21"/>
          <w:lang w:eastAsia="zh-TW"/>
        </w:rPr>
        <w:t>谈判小组将</w:t>
      </w:r>
      <w:r>
        <w:rPr>
          <w:rFonts w:hint="eastAsia"/>
          <w:szCs w:val="21"/>
        </w:rPr>
        <w:t>依法对谈判应答文件进行初审。</w:t>
      </w:r>
      <w:r>
        <w:rPr>
          <w:rFonts w:hint="eastAsia"/>
        </w:rPr>
        <w:t>谈判应答文件初审包括资格性检查和符合性检查，资格性检查：依据法律法规和单一来源采购文件的规定，对谈判应答文件中的资格证明、谈判应答保证金等进行审查，以确定谈判应答供应商是否具备谈判应答资格。符合性检查：依据单一来源采购文件的规定，从谈判应答文件的有效性、完整性和对单一来源采购文件的响应程度进行审查，以确定是否对单一来源采购文件的实质性要求作出响应。</w:t>
      </w:r>
    </w:p>
    <w:p>
      <w:pPr>
        <w:tabs>
          <w:tab w:val="clear" w:pos="426"/>
        </w:tabs>
        <w:rPr>
          <w:b/>
        </w:rPr>
      </w:pPr>
      <w:r>
        <w:rPr>
          <w:rFonts w:hint="eastAsia"/>
        </w:rPr>
        <w:t>32.2谈判应答文件初审内容请详见“</w:t>
      </w:r>
      <w:r>
        <w:rPr>
          <w:rFonts w:hint="eastAsia"/>
          <w:b/>
        </w:rPr>
        <w:t>资格、符合性评审条款</w:t>
      </w:r>
      <w:r>
        <w:rPr>
          <w:rFonts w:hint="eastAsia"/>
        </w:rPr>
        <w:t>”。供应商若有一条审查不通过则按谈判应答无效处理。谈判小组对供应商打√为通过审查，打×为未通过审查。</w:t>
      </w:r>
    </w:p>
    <w:p>
      <w:pPr>
        <w:tabs>
          <w:tab w:val="clear" w:pos="426"/>
        </w:tabs>
        <w:rPr>
          <w:b/>
        </w:rPr>
      </w:pPr>
      <w:r>
        <w:rPr>
          <w:rFonts w:hint="eastAsia"/>
        </w:rPr>
        <w:t>32.3谈判应答文件初审中关于供应商家数的计算</w:t>
      </w:r>
    </w:p>
    <w:p>
      <w:pPr>
        <w:tabs>
          <w:tab w:val="clear" w:pos="426"/>
        </w:tabs>
      </w:pPr>
      <w:r>
        <w:t>3</w:t>
      </w:r>
      <w:r>
        <w:rPr>
          <w:rFonts w:hint="eastAsia"/>
        </w:rPr>
        <w:t>2</w:t>
      </w:r>
      <w:r>
        <w:t>.3.1 采用最低评标价法的采购项目，提供相同品牌产品的不同供应商参加同一合同项下谈判应答的，以其中通过资格审查、符合性审查且报价最低的参加谈判；报价相同的，由采购人或者采购人委托谈判小组按照单一来源采购文件规定的方式确定一个参加谈判的供应商，单一来源采购文件未规定的采取随机抽取方式确定，其他谈判应答无效。</w:t>
      </w:r>
    </w:p>
    <w:p>
      <w:pPr>
        <w:tabs>
          <w:tab w:val="clear" w:pos="426"/>
        </w:tabs>
      </w:pPr>
      <w:r>
        <w:t>3</w:t>
      </w:r>
      <w:r>
        <w:rPr>
          <w:rFonts w:hint="eastAsia"/>
        </w:rPr>
        <w:t>2</w:t>
      </w:r>
      <w:r>
        <w:t>.3.2使用综合评分法的采购项目，提供相同品牌产品且通过资格审查、符合性审查的不同供应商参加同一合同项下谈判应答的，按一家供应商计算，评审后得分最高的同品牌供应商获得成交人推荐资格；评审得分相同的，由采购人或者采购人委托谈判小组按照单一来源采购文件规定的方式确定一个供应商获得成交人推荐资格，单一来源采购文件未规定的采取随机抽取方式确定，其他同品牌供应商不作为成交候选人。</w:t>
      </w:r>
    </w:p>
    <w:p>
      <w:pPr>
        <w:tabs>
          <w:tab w:val="clear" w:pos="426"/>
        </w:tabs>
      </w:pPr>
      <w:r>
        <w:t>3</w:t>
      </w:r>
      <w:r>
        <w:rPr>
          <w:rFonts w:hint="eastAsia"/>
        </w:rPr>
        <w:t>2</w:t>
      </w:r>
      <w:r>
        <w:t>.3.3非单一产品采购项目，采购人应当根据采购项目技术构成、产品价格比重等合理确定核心产品，并在单一来源采购文件中载明。多家供应商提供的核心产品品牌相同的，按前两款规定处理。</w:t>
      </w:r>
    </w:p>
    <w:p>
      <w:pPr>
        <w:tabs>
          <w:tab w:val="clear" w:pos="426"/>
        </w:tabs>
      </w:pPr>
      <w:r>
        <w:t>3</w:t>
      </w:r>
      <w:r>
        <w:rPr>
          <w:rFonts w:hint="eastAsia"/>
        </w:rPr>
        <w:t>2</w:t>
      </w:r>
      <w:r>
        <w:t>.3.4公开单一来源采购以外采购方式以及政府采购服务和工程涉及采购货物的项目，也按此方法计算供应商家数。</w:t>
      </w:r>
    </w:p>
    <w:p>
      <w:pPr>
        <w:tabs>
          <w:tab w:val="clear" w:pos="426"/>
        </w:tabs>
      </w:pPr>
      <w:r>
        <w:rPr>
          <w:rFonts w:hint="eastAsia"/>
        </w:rPr>
        <w:t>32.4对不属于谈判应答文件“</w:t>
      </w:r>
      <w:r>
        <w:rPr>
          <w:rFonts w:hint="eastAsia"/>
          <w:b/>
        </w:rPr>
        <w:t>资格、符合性评审条款</w:t>
      </w:r>
      <w:r>
        <w:rPr>
          <w:rFonts w:hint="eastAsia"/>
        </w:rPr>
        <w:t>”要所列不符合的情形，除法律法规另有规定外，不得作为谈判应答无效的理由。</w:t>
      </w:r>
    </w:p>
    <w:p>
      <w:pPr>
        <w:tabs>
          <w:tab w:val="clear" w:pos="426"/>
        </w:tabs>
      </w:pPr>
      <w:r>
        <w:rPr>
          <w:rFonts w:hint="eastAsia"/>
        </w:rPr>
        <w:t>32</w:t>
      </w:r>
      <w:r>
        <w:t>.</w:t>
      </w:r>
      <w:r>
        <w:rPr>
          <w:rFonts w:hint="eastAsia"/>
        </w:rPr>
        <w:t>5</w:t>
      </w:r>
      <w:r>
        <w:t>如果谈判应答文件实质上不响应</w:t>
      </w:r>
      <w:r>
        <w:rPr>
          <w:rFonts w:hint="eastAsia"/>
        </w:rPr>
        <w:t>单一来源采购</w:t>
      </w:r>
      <w:r>
        <w:t>文件的各项要求，谈判小组将予以拒绝，并且不允许供应商通过修改或撤销其不符合要求的差异或保留，使之成为具有响应性的谈判应答文件。</w:t>
      </w:r>
    </w:p>
    <w:p>
      <w:pPr>
        <w:tabs>
          <w:tab w:val="clear" w:pos="426"/>
        </w:tabs>
      </w:pPr>
      <w:bookmarkStart w:id="276" w:name="_Toc100052399"/>
      <w:r>
        <w:rPr>
          <w:rFonts w:hint="eastAsia"/>
        </w:rPr>
        <w:t>33.澄清有关问题</w:t>
      </w:r>
      <w:bookmarkEnd w:id="276"/>
    </w:p>
    <w:p>
      <w:pPr>
        <w:tabs>
          <w:tab w:val="clear" w:pos="426"/>
        </w:tabs>
      </w:pPr>
      <w:bookmarkStart w:id="277" w:name="bt投标文件的评估和比较"/>
      <w:bookmarkEnd w:id="277"/>
      <w:bookmarkStart w:id="278" w:name="bt废标"/>
      <w:bookmarkEnd w:id="278"/>
      <w:bookmarkStart w:id="279" w:name="bt投标文件的澄清"/>
      <w:bookmarkEnd w:id="279"/>
      <w:bookmarkStart w:id="280" w:name="_Toc73517675"/>
      <w:bookmarkStart w:id="281" w:name="_Toc73518153"/>
      <w:bookmarkStart w:id="282" w:name="_Toc73521671"/>
      <w:bookmarkStart w:id="283" w:name="_Toc73521583"/>
      <w:r>
        <w:rPr>
          <w:rFonts w:hint="eastAsia"/>
        </w:rPr>
        <w:t>为了有助于谈判应答文件的审查、评价和比较，对谈判应答文件含义不明确、同类问题表述不一致或者有明显文字和计算错误的内容，谈判小组可以用书面形式(应当由谈判小组签字)要求谈判应答供应商作出必要的澄清、说明或者纠正。供应商的澄清、说明或者补正应当用采用书面形式（由其授权的代表签字），并不得超出谈判应答文件的范围或者改变谈判应答文件的实质性的内容。根据本通用条款第34条，凡属于谈判小组在谈判中发现的算术错误进行核实的修改不在此列。</w:t>
      </w:r>
    </w:p>
    <w:p>
      <w:pPr>
        <w:tabs>
          <w:tab w:val="clear" w:pos="426"/>
        </w:tabs>
      </w:pPr>
      <w:bookmarkStart w:id="284" w:name="_Toc100052400"/>
      <w:bookmarkStart w:id="285" w:name="_Toc73518151"/>
      <w:bookmarkStart w:id="286" w:name="_Toc73521669"/>
      <w:bookmarkStart w:id="287" w:name="_Toc73517673"/>
      <w:bookmarkStart w:id="288" w:name="_Toc73521581"/>
      <w:r>
        <w:rPr>
          <w:rFonts w:hint="eastAsia"/>
        </w:rPr>
        <w:t>34.错误的修正</w:t>
      </w:r>
      <w:bookmarkEnd w:id="284"/>
      <w:bookmarkEnd w:id="285"/>
      <w:bookmarkEnd w:id="286"/>
      <w:bookmarkEnd w:id="287"/>
      <w:bookmarkEnd w:id="288"/>
    </w:p>
    <w:p>
      <w:pPr>
        <w:tabs>
          <w:tab w:val="clear" w:pos="426"/>
        </w:tabs>
      </w:pPr>
      <w:r>
        <w:rPr>
          <w:rFonts w:hint="eastAsia"/>
        </w:rPr>
        <w:t>34</w:t>
      </w:r>
      <w:r>
        <w:t xml:space="preserve">.1 </w:t>
      </w:r>
      <w:r>
        <w:rPr>
          <w:rFonts w:hint="eastAsia"/>
        </w:rPr>
        <w:t>谈判小组将审查谈判应答文件是否完整、总体编排是否有序、文件签署是否合格、供应商是否提交了谈判应答保证金、有无计算上的错误等。</w:t>
      </w:r>
    </w:p>
    <w:p>
      <w:pPr>
        <w:tabs>
          <w:tab w:val="clear" w:pos="426"/>
        </w:tabs>
      </w:pPr>
      <w:r>
        <w:t>3</w:t>
      </w:r>
      <w:r>
        <w:rPr>
          <w:rFonts w:hint="eastAsia"/>
        </w:rPr>
        <w:t>4</w:t>
      </w:r>
      <w:r>
        <w:t>.2  算术错误将按以下方法更正（次序排先者优先）：</w:t>
      </w:r>
    </w:p>
    <w:p>
      <w:pPr>
        <w:tabs>
          <w:tab w:val="clear" w:pos="426"/>
        </w:tabs>
      </w:pPr>
      <w:r>
        <w:t>3</w:t>
      </w:r>
      <w:r>
        <w:rPr>
          <w:rFonts w:hint="eastAsia"/>
        </w:rPr>
        <w:t>4</w:t>
      </w:r>
      <w:r>
        <w:t>.2.1 谈判应答文件中谈判初始报价一览表（报价表）内容与谈判应答文件中相应内容不一致的，以谈判初始报价一览表（报价表）为准；</w:t>
      </w:r>
    </w:p>
    <w:p>
      <w:pPr>
        <w:tabs>
          <w:tab w:val="clear" w:pos="426"/>
        </w:tabs>
      </w:pPr>
      <w:r>
        <w:t>3</w:t>
      </w:r>
      <w:r>
        <w:rPr>
          <w:rFonts w:hint="eastAsia"/>
        </w:rPr>
        <w:t>4</w:t>
      </w:r>
      <w:r>
        <w:t>.2.2 大写金额和小写金额不一致的，以大写金额为准；</w:t>
      </w:r>
    </w:p>
    <w:p>
      <w:pPr>
        <w:tabs>
          <w:tab w:val="clear" w:pos="426"/>
        </w:tabs>
      </w:pPr>
      <w:r>
        <w:t>3</w:t>
      </w:r>
      <w:r>
        <w:rPr>
          <w:rFonts w:hint="eastAsia"/>
        </w:rPr>
        <w:t>4</w:t>
      </w:r>
      <w:r>
        <w:t>.2.3 单价金额小数点或者百分比有明显错位的，以谈判初始报价一览表的总价为准，并修改单价；</w:t>
      </w:r>
    </w:p>
    <w:p>
      <w:pPr>
        <w:tabs>
          <w:tab w:val="clear" w:pos="426"/>
        </w:tabs>
      </w:pPr>
      <w:r>
        <w:t>3</w:t>
      </w:r>
      <w:r>
        <w:rPr>
          <w:rFonts w:hint="eastAsia"/>
        </w:rPr>
        <w:t>4</w:t>
      </w:r>
      <w:r>
        <w:t>.2.4 总价金额与按单价汇总金额不一致的，以单价金额计算结果为准；</w:t>
      </w:r>
    </w:p>
    <w:p>
      <w:pPr>
        <w:tabs>
          <w:tab w:val="clear" w:pos="426"/>
        </w:tabs>
      </w:pPr>
      <w:r>
        <w:t>3</w:t>
      </w:r>
      <w:r>
        <w:rPr>
          <w:rFonts w:hint="eastAsia"/>
        </w:rPr>
        <w:t>4</w:t>
      </w:r>
      <w:r>
        <w:t>.2.5 对不同文字文本谈判应答文件的解释发生异议的，以中文文本为准。</w:t>
      </w:r>
    </w:p>
    <w:p>
      <w:pPr>
        <w:tabs>
          <w:tab w:val="clear" w:pos="426"/>
        </w:tabs>
      </w:pPr>
      <w:r>
        <w:rPr>
          <w:rFonts w:hint="eastAsia"/>
        </w:rPr>
        <w:t>34</w:t>
      </w:r>
      <w:r>
        <w:t xml:space="preserve">.3  </w:t>
      </w:r>
      <w:r>
        <w:rPr>
          <w:rFonts w:hint="eastAsia"/>
        </w:rPr>
        <w:t>对于谈判应答文件中不构成实质性偏差的不正规、不一致或不规则，给评审带来不便，谈判小组可以接受。</w:t>
      </w:r>
    </w:p>
    <w:p>
      <w:pPr>
        <w:tabs>
          <w:tab w:val="clear" w:pos="426"/>
        </w:tabs>
      </w:pPr>
      <w:r>
        <w:rPr>
          <w:rFonts w:hint="eastAsia"/>
        </w:rPr>
        <w:t>34.4  供应商的谈判应答报价是可变动价格的，或包含了价格调整要求的，或谈判应答报价中提供</w:t>
      </w:r>
      <w:r>
        <w:t>两个</w:t>
      </w:r>
      <w:r>
        <w:rPr>
          <w:rFonts w:hint="eastAsia"/>
        </w:rPr>
        <w:t>（含两个）以上的</w:t>
      </w:r>
      <w:r>
        <w:t>报价</w:t>
      </w:r>
      <w:r>
        <w:rPr>
          <w:rFonts w:hint="eastAsia"/>
        </w:rPr>
        <w:t>（</w:t>
      </w:r>
      <w:r>
        <w:t>单一来源采购文件规定提交备选谈判应答方案的除外</w:t>
      </w:r>
      <w:r>
        <w:rPr>
          <w:rFonts w:hint="eastAsia"/>
        </w:rPr>
        <w:t>），或严重漏项，谈判小组无法进行判断的，谈判小组可以作谈判应答无效处理。</w:t>
      </w:r>
    </w:p>
    <w:p>
      <w:pPr>
        <w:tabs>
          <w:tab w:val="clear" w:pos="426"/>
        </w:tabs>
      </w:pPr>
      <w:r>
        <w:rPr>
          <w:rFonts w:hint="eastAsia"/>
        </w:rPr>
        <w:t>34.5根据上述修正错误的原则及方法调整或修正谈判应答文件的谈判应答报价，供应商同意后，调整后的谈判应答报价对供应商起约束作用。</w:t>
      </w:r>
      <w:r>
        <w:rPr>
          <w:rFonts w:hint="eastAsia"/>
          <w:b/>
          <w:bCs/>
        </w:rPr>
        <w:t>如果供应商不接受修正后的报价，则其谈判应答将被拒绝并且其谈判应答保证金也将被没收，并不影响谈判工作。</w:t>
      </w:r>
    </w:p>
    <w:p>
      <w:pPr>
        <w:tabs>
          <w:tab w:val="clear" w:pos="426"/>
        </w:tabs>
      </w:pPr>
      <w:bookmarkStart w:id="289" w:name="_Toc100052401"/>
      <w:r>
        <w:rPr>
          <w:rFonts w:hint="eastAsia"/>
        </w:rPr>
        <w:t>35.谈判应答文件的</w:t>
      </w:r>
      <w:bookmarkEnd w:id="280"/>
      <w:bookmarkEnd w:id="281"/>
      <w:bookmarkEnd w:id="282"/>
      <w:bookmarkEnd w:id="283"/>
      <w:r>
        <w:rPr>
          <w:rFonts w:hint="eastAsia"/>
        </w:rPr>
        <w:t>评审、比较</w:t>
      </w:r>
      <w:bookmarkEnd w:id="289"/>
      <w:r>
        <w:rPr>
          <w:rFonts w:hint="eastAsia"/>
        </w:rPr>
        <w:t>和否决</w:t>
      </w:r>
    </w:p>
    <w:p>
      <w:pPr>
        <w:tabs>
          <w:tab w:val="clear" w:pos="426"/>
        </w:tabs>
      </w:pPr>
      <w:r>
        <w:rPr>
          <w:rFonts w:hint="eastAsia"/>
        </w:rPr>
        <w:t>35.1谈判小组将按照本须知规定，仅对在实质上响应采购文件要求的谈判应答文件进行评审和比较。</w:t>
      </w:r>
    </w:p>
    <w:p>
      <w:pPr>
        <w:tabs>
          <w:tab w:val="clear" w:pos="426"/>
        </w:tabs>
      </w:pPr>
      <w:r>
        <w:rPr>
          <w:rFonts w:hint="eastAsia"/>
        </w:rPr>
        <w:t>35.2</w:t>
      </w:r>
      <w:r>
        <w:t>在评审过程中，谈判小组可以以书面形式要求供应商就谈判应答文件中含义不明确的内容进行书面说明并提供相关材料。</w:t>
      </w:r>
    </w:p>
    <w:p>
      <w:pPr>
        <w:tabs>
          <w:tab w:val="clear" w:pos="426"/>
        </w:tabs>
      </w:pPr>
      <w:r>
        <w:rPr>
          <w:rFonts w:hint="eastAsia"/>
        </w:rPr>
        <w:t>35.3谈判</w:t>
      </w:r>
      <w:r>
        <w:t>小组依据单一来源采购文件规定的评审办法和标准，对谈判应答文件进行评审和比较，向采购人提出书面谈判报告。</w:t>
      </w:r>
    </w:p>
    <w:p>
      <w:pPr>
        <w:tabs>
          <w:tab w:val="clear" w:pos="426"/>
        </w:tabs>
      </w:pPr>
      <w:r>
        <w:rPr>
          <w:rFonts w:hint="eastAsia"/>
        </w:rPr>
        <w:t>35</w:t>
      </w:r>
      <w:r>
        <w:t>.4谈判办法和标准</w:t>
      </w:r>
    </w:p>
    <w:p>
      <w:pPr>
        <w:tabs>
          <w:tab w:val="clear" w:pos="426"/>
        </w:tabs>
      </w:pPr>
      <w:r>
        <w:t>谈判小组所有成员集中与单一供应商分别进行谈判，谈判应不少于三轮。应答文件中的初始报价即为供应商的第一轮报价；最后一轮谈判时供应商谈判代表将获得提示（提示为最后一轮谈判），供应商谈判代表应在规定的时间内进行最终报价。</w:t>
      </w:r>
    </w:p>
    <w:p>
      <w:pPr>
        <w:tabs>
          <w:tab w:val="clear" w:pos="426"/>
        </w:tabs>
      </w:pPr>
      <w:r>
        <w:rPr>
          <w:rFonts w:hint="eastAsia"/>
        </w:rPr>
        <w:t>36.实地考察、演示或设备测试</w:t>
      </w:r>
    </w:p>
    <w:p>
      <w:pPr>
        <w:tabs>
          <w:tab w:val="clear" w:pos="426"/>
        </w:tabs>
      </w:pPr>
      <w:r>
        <w:rPr>
          <w:rFonts w:hint="eastAsia"/>
        </w:rPr>
        <w:t>36.1在单一来源采购过程中，谈判小组有权决定是否对本项目供应商进行现场勘察或实地考察或检验有关证明材料的原件。供应商应随时做好接受检查的准备。</w:t>
      </w:r>
    </w:p>
    <w:p>
      <w:pPr>
        <w:tabs>
          <w:tab w:val="clear" w:pos="426"/>
        </w:tabs>
      </w:pPr>
      <w:r>
        <w:rPr>
          <w:rFonts w:hint="eastAsia"/>
        </w:rPr>
        <w:t>36.2若单一来源采购文件要求进行现场演示或设备测试的，供应商应做好相应准备。</w:t>
      </w:r>
    </w:p>
    <w:p>
      <w:pPr>
        <w:tabs>
          <w:tab w:val="clear" w:pos="426"/>
        </w:tabs>
      </w:pPr>
      <w:r>
        <w:rPr>
          <w:rFonts w:hint="eastAsia"/>
        </w:rPr>
        <w:t>37</w:t>
      </w:r>
      <w:r>
        <w:t>．采购人拒绝谈判应答文件的权力</w:t>
      </w:r>
    </w:p>
    <w:p>
      <w:pPr>
        <w:tabs>
          <w:tab w:val="clear" w:pos="426"/>
        </w:tabs>
      </w:pPr>
      <w:r>
        <w:rPr>
          <w:rFonts w:hint="eastAsia"/>
        </w:rPr>
        <w:t>37</w:t>
      </w:r>
      <w:r>
        <w:t>.1采购人不承诺将合同授予报价最低的供应商。采购人在发出成交通知书前，有权依据谈判小组的谈判报告拒绝不合格的谈判应答文件。</w:t>
      </w:r>
    </w:p>
    <w:p>
      <w:pPr>
        <w:keepNext/>
        <w:keepLines/>
        <w:tabs>
          <w:tab w:val="clear" w:pos="426"/>
        </w:tabs>
        <w:spacing w:before="260" w:after="260" w:line="240" w:lineRule="auto"/>
        <w:textAlignment w:val="baseline"/>
        <w:outlineLvl w:val="1"/>
        <w:rPr>
          <w:rFonts w:cs="Times New Roman"/>
          <w:b/>
          <w:sz w:val="24"/>
          <w:szCs w:val="20"/>
        </w:rPr>
      </w:pPr>
      <w:bookmarkStart w:id="290" w:name="_Toc398220535"/>
      <w:bookmarkStart w:id="291" w:name="_Toc432592827"/>
      <w:bookmarkStart w:id="292" w:name="_Toc96519548"/>
      <w:bookmarkStart w:id="293" w:name="_Toc47111234"/>
      <w:r>
        <w:rPr>
          <w:rFonts w:hint="eastAsia" w:cs="Times New Roman"/>
          <w:b/>
          <w:sz w:val="24"/>
          <w:szCs w:val="20"/>
        </w:rPr>
        <w:t>第六章 公示</w:t>
      </w:r>
      <w:bookmarkEnd w:id="290"/>
      <w:bookmarkEnd w:id="291"/>
      <w:r>
        <w:rPr>
          <w:rFonts w:hint="eastAsia" w:cs="Times New Roman"/>
          <w:b/>
          <w:sz w:val="24"/>
          <w:szCs w:val="20"/>
        </w:rPr>
        <w:t>及成交</w:t>
      </w:r>
      <w:bookmarkEnd w:id="292"/>
      <w:bookmarkEnd w:id="293"/>
    </w:p>
    <w:p>
      <w:pPr>
        <w:tabs>
          <w:tab w:val="clear" w:pos="426"/>
        </w:tabs>
      </w:pPr>
      <w:bookmarkStart w:id="294" w:name="_Toc100052405"/>
      <w:bookmarkStart w:id="295" w:name="_Toc73521588"/>
      <w:bookmarkStart w:id="296" w:name="_Toc73518159"/>
      <w:bookmarkStart w:id="297" w:name="_Toc73517681"/>
      <w:bookmarkStart w:id="298" w:name="_Toc73521676"/>
      <w:r>
        <w:rPr>
          <w:rFonts w:hint="eastAsia"/>
        </w:rPr>
        <w:t>38.成交公告</w:t>
      </w:r>
      <w:bookmarkEnd w:id="294"/>
    </w:p>
    <w:p>
      <w:pPr>
        <w:tabs>
          <w:tab w:val="clear" w:pos="426"/>
        </w:tabs>
      </w:pPr>
      <w:r>
        <w:rPr>
          <w:rFonts w:hint="eastAsia"/>
        </w:rPr>
        <w:t>38.1为体现“公开、公平、公正”的原则，谈判结束后，采购代理机构将在相关网站媒体上发布成交结果公告，公示期为3个日历日。供应商如对谈判结果有异议，请于公示期内，以书面的形式向我公司反映。若在公示期内未提出异议，则视为认同该谈判结果。</w:t>
      </w:r>
    </w:p>
    <w:p>
      <w:pPr>
        <w:tabs>
          <w:tab w:val="clear" w:pos="426"/>
        </w:tabs>
      </w:pPr>
      <w:r>
        <w:rPr>
          <w:rFonts w:hint="eastAsia"/>
        </w:rPr>
        <w:t>38.2质疑投诉人应保证质疑投诉内容的真实性和可靠性，并承担相应的法律责任。</w:t>
      </w:r>
    </w:p>
    <w:p>
      <w:pPr>
        <w:tabs>
          <w:tab w:val="clear" w:pos="426"/>
        </w:tabs>
      </w:pPr>
      <w:bookmarkStart w:id="299" w:name="_Toc100052406"/>
      <w:r>
        <w:rPr>
          <w:rFonts w:hint="eastAsia"/>
        </w:rPr>
        <w:t>39.成交通知书</w:t>
      </w:r>
      <w:bookmarkEnd w:id="299"/>
    </w:p>
    <w:bookmarkEnd w:id="295"/>
    <w:bookmarkEnd w:id="296"/>
    <w:bookmarkEnd w:id="297"/>
    <w:bookmarkEnd w:id="298"/>
    <w:p>
      <w:pPr>
        <w:tabs>
          <w:tab w:val="clear" w:pos="426"/>
        </w:tabs>
      </w:pPr>
      <w:r>
        <w:rPr>
          <w:rFonts w:hint="eastAsia"/>
        </w:rPr>
        <w:t>39</w:t>
      </w:r>
      <w:r>
        <w:t>.</w:t>
      </w:r>
      <w:r>
        <w:rPr>
          <w:rFonts w:hint="eastAsia"/>
        </w:rPr>
        <w:t>1成交公告公布后,公示期内无人投诉,请成交人凭单位证明及本人身份证到采购代理机构领取《成交通知书》。</w:t>
      </w:r>
    </w:p>
    <w:p>
      <w:pPr>
        <w:tabs>
          <w:tab w:val="clear" w:pos="426"/>
        </w:tabs>
      </w:pPr>
      <w:r>
        <w:rPr>
          <w:rFonts w:hint="eastAsia"/>
        </w:rPr>
        <w:t>39</w:t>
      </w:r>
      <w:r>
        <w:t>.2</w:t>
      </w:r>
      <w:r>
        <w:rPr>
          <w:rFonts w:hint="eastAsia"/>
        </w:rPr>
        <w:t>成交通知书是合同的重要组成部分。</w:t>
      </w:r>
    </w:p>
    <w:p>
      <w:pPr>
        <w:tabs>
          <w:tab w:val="clear" w:pos="426"/>
        </w:tabs>
      </w:pPr>
      <w:r>
        <w:rPr>
          <w:rFonts w:hint="eastAsia"/>
        </w:rPr>
        <w:t>39.3因质疑投诉或其它原因导致项目结果变更或采购终止的，我公司有权收回成交通知书或终止采购合同。</w:t>
      </w:r>
    </w:p>
    <w:p>
      <w:pPr>
        <w:keepNext/>
        <w:keepLines/>
        <w:tabs>
          <w:tab w:val="clear" w:pos="426"/>
        </w:tabs>
        <w:spacing w:before="260" w:after="260" w:line="240" w:lineRule="auto"/>
        <w:textAlignment w:val="baseline"/>
        <w:outlineLvl w:val="1"/>
        <w:rPr>
          <w:rFonts w:cs="Times New Roman"/>
          <w:b/>
          <w:sz w:val="24"/>
          <w:szCs w:val="20"/>
        </w:rPr>
      </w:pPr>
      <w:bookmarkStart w:id="300" w:name="bt合同的授予"/>
      <w:bookmarkEnd w:id="300"/>
      <w:bookmarkStart w:id="301" w:name="_Toc398220536"/>
      <w:bookmarkStart w:id="302" w:name="_Toc432592828"/>
      <w:bookmarkStart w:id="303" w:name="_Toc47111235"/>
      <w:bookmarkStart w:id="304" w:name="_Toc96519549"/>
      <w:bookmarkStart w:id="305" w:name="_Toc100052407"/>
      <w:bookmarkStart w:id="306" w:name="_Toc73518156"/>
      <w:bookmarkStart w:id="307" w:name="_Toc73517678"/>
      <w:bookmarkStart w:id="308" w:name="_Toc101074884"/>
      <w:r>
        <w:rPr>
          <w:rFonts w:hint="eastAsia" w:cs="Times New Roman"/>
          <w:b/>
          <w:sz w:val="24"/>
          <w:szCs w:val="20"/>
        </w:rPr>
        <w:t xml:space="preserve">第七章 </w:t>
      </w:r>
      <w:bookmarkEnd w:id="301"/>
      <w:bookmarkEnd w:id="302"/>
      <w:r>
        <w:rPr>
          <w:rFonts w:hint="eastAsia" w:cs="Times New Roman"/>
          <w:b/>
          <w:sz w:val="24"/>
          <w:szCs w:val="20"/>
        </w:rPr>
        <w:t>供应商工作范围</w:t>
      </w:r>
      <w:bookmarkEnd w:id="303"/>
      <w:bookmarkEnd w:id="304"/>
    </w:p>
    <w:p>
      <w:pPr>
        <w:tabs>
          <w:tab w:val="clear" w:pos="426"/>
        </w:tabs>
      </w:pPr>
      <w:r>
        <w:rPr>
          <w:rFonts w:hint="eastAsia"/>
        </w:rPr>
        <w:t>40</w:t>
      </w:r>
      <w:r>
        <w:t>.1 供应商需按单一来源采购文件的要求完成本次采购项目，及时提交项目成果及执行售后服务工作。对提交项目成果的质量负责。</w:t>
      </w:r>
    </w:p>
    <w:p>
      <w:pPr>
        <w:tabs>
          <w:tab w:val="clear" w:pos="426"/>
        </w:tabs>
      </w:pPr>
      <w:r>
        <w:rPr>
          <w:rFonts w:hint="eastAsia"/>
        </w:rPr>
        <w:t>40</w:t>
      </w:r>
      <w:r>
        <w:t>.2 项目成果中的相关技术内容，须满足国家和行业现行规范和标准要求。</w:t>
      </w:r>
    </w:p>
    <w:p>
      <w:pPr>
        <w:tabs>
          <w:tab w:val="clear" w:pos="426"/>
        </w:tabs>
      </w:pPr>
      <w:r>
        <w:rPr>
          <w:rFonts w:hint="eastAsia"/>
        </w:rPr>
        <w:t>40</w:t>
      </w:r>
      <w:r>
        <w:t>.3 供应商必须对单一来源采购文件的内容按顺序逐项做出实质性应答，提供具体、详细的资料，任何差异必须列表说明。未按照单一来源采购文件要求编制的谈判应答文件，将被视为不满足单一来源采购文件要求，供应商将承担谈判应答文件作废的风险。采购人只接受等同于或优于单一来源采购文件规定的标准。</w:t>
      </w:r>
    </w:p>
    <w:p>
      <w:pPr>
        <w:tabs>
          <w:tab w:val="clear" w:pos="426"/>
        </w:tabs>
      </w:pPr>
      <w:r>
        <w:rPr>
          <w:rFonts w:hint="eastAsia"/>
        </w:rPr>
        <w:t>40</w:t>
      </w:r>
      <w:r>
        <w:t>.4供应商必须对所提供的项目成果，版权及所有权归采购人所有。</w:t>
      </w:r>
    </w:p>
    <w:p>
      <w:pPr>
        <w:tabs>
          <w:tab w:val="clear" w:pos="426"/>
        </w:tabs>
      </w:pPr>
      <w:r>
        <w:rPr>
          <w:rFonts w:hint="eastAsia"/>
        </w:rPr>
        <w:t>40</w:t>
      </w:r>
      <w:r>
        <w:t>.5成交供应商须负责保护采购人的利益不受任何损害。项目成果中一切由于文字、商标和技术专利等侵权引起的法律裁决、诉讼和费用均与采购人无关，由成交供应商负责。</w:t>
      </w:r>
    </w:p>
    <w:bookmarkEnd w:id="305"/>
    <w:bookmarkEnd w:id="306"/>
    <w:bookmarkEnd w:id="307"/>
    <w:bookmarkEnd w:id="308"/>
    <w:p>
      <w:pPr>
        <w:keepNext/>
        <w:keepLines/>
        <w:tabs>
          <w:tab w:val="clear" w:pos="426"/>
        </w:tabs>
        <w:spacing w:before="260" w:after="260" w:line="240" w:lineRule="auto"/>
        <w:textAlignment w:val="baseline"/>
        <w:outlineLvl w:val="1"/>
        <w:rPr>
          <w:rFonts w:cs="Times New Roman"/>
          <w:b/>
          <w:sz w:val="28"/>
          <w:szCs w:val="28"/>
        </w:rPr>
      </w:pPr>
      <w:bookmarkStart w:id="309" w:name="_Toc96519550"/>
      <w:bookmarkStart w:id="310" w:name="_Toc47111236"/>
      <w:bookmarkStart w:id="311" w:name="_Toc398220537"/>
      <w:bookmarkStart w:id="312" w:name="_Toc432592829"/>
      <w:r>
        <w:rPr>
          <w:rFonts w:hint="eastAsia" w:cs="Times New Roman"/>
          <w:b/>
          <w:sz w:val="24"/>
          <w:szCs w:val="20"/>
        </w:rPr>
        <w:t>第八章 合同的授予与备案</w:t>
      </w:r>
      <w:bookmarkEnd w:id="309"/>
      <w:bookmarkEnd w:id="310"/>
      <w:bookmarkEnd w:id="311"/>
      <w:bookmarkEnd w:id="312"/>
    </w:p>
    <w:p>
      <w:pPr>
        <w:tabs>
          <w:tab w:val="clear" w:pos="426"/>
        </w:tabs>
      </w:pPr>
      <w:bookmarkStart w:id="313" w:name="_33._合同授予标准"/>
      <w:bookmarkEnd w:id="313"/>
      <w:bookmarkStart w:id="314" w:name="_Toc201401599"/>
      <w:bookmarkStart w:id="315" w:name="_Toc201401407"/>
      <w:bookmarkStart w:id="316" w:name="_Toc201997860"/>
      <w:r>
        <w:rPr>
          <w:rFonts w:hint="eastAsia"/>
        </w:rPr>
        <w:t>41.</w:t>
      </w:r>
      <w:bookmarkEnd w:id="314"/>
      <w:bookmarkEnd w:id="315"/>
      <w:r>
        <w:rPr>
          <w:rFonts w:hint="eastAsia"/>
        </w:rPr>
        <w:t>履约担保</w:t>
      </w:r>
      <w:bookmarkEnd w:id="316"/>
    </w:p>
    <w:p>
      <w:pPr>
        <w:tabs>
          <w:tab w:val="clear" w:pos="426"/>
        </w:tabs>
      </w:pPr>
      <w:r>
        <w:rPr>
          <w:rFonts w:hint="eastAsia"/>
        </w:rPr>
        <w:t>41.1  本项目履约担保的相关要求：详见“谈判应答须知前附表”。</w:t>
      </w:r>
    </w:p>
    <w:p>
      <w:pPr>
        <w:tabs>
          <w:tab w:val="clear" w:pos="426"/>
        </w:tabs>
      </w:pPr>
      <w:r>
        <w:rPr>
          <w:rFonts w:hint="eastAsia"/>
        </w:rPr>
        <w:t>41.2  在签订合同前，成交人应按规定向采购人提交履约担保，采用履约保函形式的可参照使用本单一来源采购文件提供的格式。</w:t>
      </w:r>
    </w:p>
    <w:p>
      <w:pPr>
        <w:tabs>
          <w:tab w:val="clear" w:pos="426"/>
        </w:tabs>
      </w:pPr>
      <w:r>
        <w:rPr>
          <w:rFonts w:hint="eastAsia"/>
        </w:rPr>
        <w:t>41.3  联合体成交的，其履约担保由联合体牵头人提交，并应符合本节第6.2条、第18.1条的规定。</w:t>
      </w:r>
    </w:p>
    <w:p>
      <w:pPr>
        <w:tabs>
          <w:tab w:val="clear" w:pos="426"/>
        </w:tabs>
      </w:pPr>
      <w:r>
        <w:rPr>
          <w:rFonts w:hint="eastAsia"/>
        </w:rPr>
        <w:t>41.4  如果成交人拒不提交本节第42.1条、第42.2条要求的履约担保的，采购人可取消其成交资格，并没收其谈判应答担保。</w:t>
      </w:r>
    </w:p>
    <w:p>
      <w:pPr>
        <w:tabs>
          <w:tab w:val="clear" w:pos="426"/>
        </w:tabs>
      </w:pPr>
      <w:bookmarkStart w:id="317" w:name="_Toc201401600"/>
      <w:bookmarkStart w:id="318" w:name="_Toc201997862"/>
      <w:bookmarkStart w:id="319" w:name="_Toc201401408"/>
      <w:r>
        <w:rPr>
          <w:rFonts w:hint="eastAsia"/>
        </w:rPr>
        <w:t>42.  签订合同</w:t>
      </w:r>
      <w:bookmarkEnd w:id="317"/>
      <w:bookmarkEnd w:id="318"/>
      <w:bookmarkEnd w:id="319"/>
    </w:p>
    <w:p>
      <w:pPr>
        <w:tabs>
          <w:tab w:val="clear" w:pos="426"/>
        </w:tabs>
      </w:pPr>
      <w:r>
        <w:rPr>
          <w:rFonts w:hint="eastAsia"/>
        </w:rPr>
        <w:t>42.1  采购人和成交人应当按“谈判应答须知前附表”的规定，依据单一来源采购文件和成交人的谈判应答文件订立书面合同。</w:t>
      </w:r>
    </w:p>
    <w:p>
      <w:pPr>
        <w:tabs>
          <w:tab w:val="clear" w:pos="426"/>
        </w:tabs>
      </w:pPr>
      <w:r>
        <w:rPr>
          <w:rFonts w:hint="eastAsia"/>
        </w:rPr>
        <w:t>42.2  成交人无正当理由拒签合同的，或者在签订合同时向采购人提出附加条件或者更改合同实质性内容的，采购人可取消其成交资格，并没收其谈判应答担保；给采购人的损失超过其谈判应答担保数额的，成交人应当对超过部分予以赔偿。</w:t>
      </w:r>
    </w:p>
    <w:p>
      <w:pPr>
        <w:keepNext/>
        <w:keepLines/>
        <w:tabs>
          <w:tab w:val="clear" w:pos="426"/>
        </w:tabs>
        <w:spacing w:before="260" w:after="260" w:line="240" w:lineRule="auto"/>
        <w:textAlignment w:val="baseline"/>
        <w:outlineLvl w:val="1"/>
        <w:rPr>
          <w:rFonts w:cs="Times New Roman"/>
          <w:b/>
          <w:sz w:val="24"/>
          <w:szCs w:val="20"/>
        </w:rPr>
      </w:pPr>
      <w:bookmarkStart w:id="320" w:name="_Toc432592830"/>
      <w:bookmarkStart w:id="321" w:name="_Toc47111237"/>
      <w:bookmarkStart w:id="322" w:name="_Toc398220538"/>
      <w:bookmarkStart w:id="323" w:name="_Toc96519551"/>
      <w:r>
        <w:rPr>
          <w:rFonts w:hint="eastAsia" w:cs="Times New Roman"/>
          <w:b/>
          <w:sz w:val="24"/>
          <w:szCs w:val="20"/>
        </w:rPr>
        <w:t>第九章 质疑受理</w:t>
      </w:r>
      <w:bookmarkEnd w:id="320"/>
      <w:bookmarkEnd w:id="321"/>
      <w:bookmarkEnd w:id="322"/>
      <w:bookmarkEnd w:id="323"/>
    </w:p>
    <w:p>
      <w:pPr>
        <w:tabs>
          <w:tab w:val="clear" w:pos="426"/>
        </w:tabs>
      </w:pPr>
      <w:r>
        <w:rPr>
          <w:rFonts w:hint="eastAsia"/>
        </w:rPr>
        <w:t>43.质疑受理机构</w:t>
      </w:r>
    </w:p>
    <w:p>
      <w:pPr>
        <w:tabs>
          <w:tab w:val="clear" w:pos="426"/>
        </w:tabs>
        <w:rPr>
          <w:sz w:val="22"/>
          <w:szCs w:val="22"/>
        </w:rPr>
      </w:pPr>
      <w:r>
        <w:rPr>
          <w:rFonts w:hint="eastAsia"/>
        </w:rPr>
        <w:t>采购代理机构及采购人</w:t>
      </w:r>
      <w:r>
        <w:t>负责受理和答复质疑</w:t>
      </w:r>
      <w:r>
        <w:rPr>
          <w:sz w:val="22"/>
          <w:szCs w:val="22"/>
        </w:rPr>
        <w:t>。</w:t>
      </w:r>
    </w:p>
    <w:p>
      <w:pPr>
        <w:tabs>
          <w:tab w:val="clear" w:pos="426"/>
        </w:tabs>
      </w:pPr>
      <w:r>
        <w:rPr>
          <w:rFonts w:hint="eastAsia"/>
        </w:rPr>
        <w:t>44.质疑处理原则</w:t>
      </w:r>
    </w:p>
    <w:p>
      <w:pPr>
        <w:tabs>
          <w:tab w:val="clear" w:pos="426"/>
        </w:tabs>
      </w:pPr>
      <w:r>
        <w:rPr>
          <w:rFonts w:hint="eastAsia"/>
        </w:rPr>
        <w:t>44.1</w:t>
      </w:r>
      <w:r>
        <w:t>质疑处理遵循公平、公正、规范、高效的原则。</w:t>
      </w:r>
    </w:p>
    <w:p>
      <w:pPr>
        <w:tabs>
          <w:tab w:val="clear" w:pos="426"/>
        </w:tabs>
      </w:pPr>
      <w:r>
        <w:rPr>
          <w:rFonts w:hint="eastAsia"/>
        </w:rPr>
        <w:t>45.2</w:t>
      </w:r>
      <w:r>
        <w:t>供应商质疑实行实名制和“谁质疑，谁举证”的原则，质疑应有具体的事项及事实根据。</w:t>
      </w:r>
    </w:p>
    <w:p>
      <w:pPr>
        <w:tabs>
          <w:tab w:val="clear" w:pos="426"/>
        </w:tabs>
      </w:pPr>
      <w:r>
        <w:rPr>
          <w:rFonts w:hint="eastAsia"/>
        </w:rPr>
        <w:t>46.质疑受理的时效和范围</w:t>
      </w:r>
    </w:p>
    <w:p>
      <w:pPr>
        <w:tabs>
          <w:tab w:val="clear" w:pos="426"/>
        </w:tabs>
      </w:pPr>
      <w:r>
        <w:rPr>
          <w:rFonts w:hint="eastAsia"/>
        </w:rPr>
        <w:t>46.1供应商认为采购文件、采购过程和成交、成交结果使自己权益受到损害的，可以在知道或者应知其权益受到损害之日起七个工作日内，以书面形式向采购代理机构提出质疑。</w:t>
      </w:r>
    </w:p>
    <w:p>
      <w:pPr>
        <w:tabs>
          <w:tab w:val="clear" w:pos="426"/>
        </w:tabs>
      </w:pPr>
      <w:r>
        <w:rPr>
          <w:rFonts w:hint="eastAsia"/>
        </w:rPr>
        <w:t>46.2供应商对采购文件有疑问的，采购代理机构及采购人按答疑程序处理；供应商对采购文件有异议的，按质疑程序处理。</w:t>
      </w:r>
    </w:p>
    <w:p>
      <w:pPr>
        <w:tabs>
          <w:tab w:val="clear" w:pos="426"/>
        </w:tabs>
      </w:pPr>
      <w:r>
        <w:rPr>
          <w:rFonts w:hint="eastAsia"/>
        </w:rPr>
        <w:t>47.质疑条件</w:t>
      </w:r>
    </w:p>
    <w:p>
      <w:pPr>
        <w:tabs>
          <w:tab w:val="clear" w:pos="426"/>
        </w:tabs>
      </w:pPr>
      <w:r>
        <w:rPr>
          <w:rFonts w:hint="eastAsia"/>
        </w:rPr>
        <w:t>47.1提出质疑的应是直接参与相应采购项目的供应商。以联合体形式参与的，由联合体共同提出；</w:t>
      </w:r>
    </w:p>
    <w:p>
      <w:pPr>
        <w:tabs>
          <w:tab w:val="clear" w:pos="426"/>
        </w:tabs>
      </w:pPr>
      <w:r>
        <w:rPr>
          <w:rFonts w:hint="eastAsia"/>
        </w:rPr>
        <w:t>47.2提供质疑的项目名称和编号、质疑供应商的单位名称、详细地址、邮政编码、联系人及联系电话等基本情况；</w:t>
      </w:r>
    </w:p>
    <w:p>
      <w:pPr>
        <w:tabs>
          <w:tab w:val="clear" w:pos="426"/>
        </w:tabs>
      </w:pPr>
      <w:r>
        <w:rPr>
          <w:rFonts w:hint="eastAsia"/>
        </w:rPr>
        <w:t>47.3有质疑的具体事项、请求及理由，并附相关证据材料；</w:t>
      </w:r>
    </w:p>
    <w:p>
      <w:pPr>
        <w:tabs>
          <w:tab w:val="clear" w:pos="426"/>
        </w:tabs>
      </w:pPr>
      <w:r>
        <w:rPr>
          <w:rFonts w:hint="eastAsia"/>
        </w:rPr>
        <w:t>47.4质疑书加盖公章，被授权人进行质疑的同时提交法人授权委托书；</w:t>
      </w:r>
    </w:p>
    <w:p>
      <w:pPr>
        <w:tabs>
          <w:tab w:val="clear" w:pos="426"/>
        </w:tabs>
      </w:pPr>
      <w:r>
        <w:rPr>
          <w:rFonts w:hint="eastAsia"/>
        </w:rPr>
        <w:t>47.5质疑材料中有外文资料的，应一并附上中文译本，并以中文译本为准。</w:t>
      </w:r>
    </w:p>
    <w:p>
      <w:pPr>
        <w:tabs>
          <w:tab w:val="clear" w:pos="426"/>
        </w:tabs>
      </w:pPr>
      <w:r>
        <w:rPr>
          <w:rFonts w:hint="eastAsia"/>
        </w:rPr>
        <w:t>47.6质疑不得超过质疑受理的时效和范围。</w:t>
      </w:r>
    </w:p>
    <w:p>
      <w:pPr>
        <w:tabs>
          <w:tab w:val="clear" w:pos="426"/>
        </w:tabs>
      </w:pPr>
      <w:r>
        <w:rPr>
          <w:rFonts w:hint="eastAsia"/>
        </w:rPr>
        <w:t>不符合上述条件的，我采购代理机构不予受理。</w:t>
      </w:r>
    </w:p>
    <w:p>
      <w:pPr>
        <w:tabs>
          <w:tab w:val="clear" w:pos="426"/>
        </w:tabs>
      </w:pPr>
      <w:r>
        <w:rPr>
          <w:rFonts w:hint="eastAsia"/>
        </w:rPr>
        <w:t>48.受理质疑办理程序</w:t>
      </w:r>
    </w:p>
    <w:p>
      <w:pPr>
        <w:tabs>
          <w:tab w:val="clear" w:pos="426"/>
        </w:tabs>
      </w:pPr>
      <w:r>
        <w:rPr>
          <w:rFonts w:hint="eastAsia"/>
        </w:rPr>
        <w:t>48.1先与质疑供应商进行沟通，以消除因误解或对采购规则和程序的不了解而引起的质疑。对沟通情况满意的，供应商撤回质疑，质疑处理程序终止。</w:t>
      </w:r>
    </w:p>
    <w:p>
      <w:pPr>
        <w:tabs>
          <w:tab w:val="clear" w:pos="426"/>
        </w:tabs>
      </w:pPr>
      <w:r>
        <w:rPr>
          <w:rFonts w:hint="eastAsia"/>
        </w:rPr>
        <w:t>48.2处理质疑一般进行书面审查；必要时听取各方当事人的陈述和申辩、进行相关调查；组织原谈判小组或谈判小组进行复议。</w:t>
      </w:r>
    </w:p>
    <w:p>
      <w:pPr>
        <w:tabs>
          <w:tab w:val="clear" w:pos="426"/>
        </w:tabs>
      </w:pPr>
      <w:r>
        <w:rPr>
          <w:rFonts w:hint="eastAsia"/>
        </w:rPr>
        <w:t>48.3在质疑处理期间，采购代理机构视情形决定暂停采购活动。</w:t>
      </w:r>
    </w:p>
    <w:p>
      <w:pPr>
        <w:tabs>
          <w:tab w:val="clear" w:pos="426"/>
        </w:tabs>
      </w:pPr>
      <w:r>
        <w:rPr>
          <w:rFonts w:hint="eastAsia"/>
        </w:rPr>
        <w:t>48.4采购代理机构原则上在质疑受理之日起十个工作日内书面答复质疑供应商。答复函以直接领取、传真或邮寄方式送达。</w:t>
      </w:r>
    </w:p>
    <w:p>
      <w:pPr>
        <w:tabs>
          <w:tab w:val="clear" w:pos="426"/>
        </w:tabs>
      </w:pPr>
      <w:r>
        <w:rPr>
          <w:rFonts w:hint="eastAsia"/>
        </w:rPr>
        <w:t>48.5供应商向采购代理机构提出质疑后，在质疑处理期限内，不得同时向其他方面提起同一质疑。质疑供应商如已就同一事项提起投诉、提请行政复议或诉讼的，质疑程序终止。</w:t>
      </w:r>
    </w:p>
    <w:p>
      <w:pPr>
        <w:tabs>
          <w:tab w:val="clear" w:pos="426"/>
        </w:tabs>
      </w:pPr>
      <w:r>
        <w:rPr>
          <w:rFonts w:hint="eastAsia"/>
        </w:rPr>
        <w:t>49.相关责任与义务</w:t>
      </w:r>
    </w:p>
    <w:p>
      <w:pPr>
        <w:tabs>
          <w:tab w:val="clear" w:pos="426"/>
        </w:tabs>
      </w:pPr>
      <w:r>
        <w:rPr>
          <w:rFonts w:hint="eastAsia"/>
        </w:rPr>
        <w:t>49.1采购单位、谈判专家和相关供应商等当事人应积极配合采购代理机构进行质疑调查，如实反映情况，及时提供证明材料。</w:t>
      </w:r>
    </w:p>
    <w:p>
      <w:pPr>
        <w:tabs>
          <w:tab w:val="clear" w:pos="426"/>
        </w:tabs>
      </w:pPr>
      <w:r>
        <w:rPr>
          <w:rFonts w:hint="eastAsia"/>
        </w:rPr>
        <w:t>49.2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pPr>
        <w:tabs>
          <w:tab w:val="clear" w:pos="426"/>
        </w:tabs>
      </w:pPr>
      <w:r>
        <w:rPr>
          <w:rFonts w:hint="eastAsia"/>
        </w:rPr>
        <w:t>49.2.1捏造事实或提供虚假证明材料的；</w:t>
      </w:r>
    </w:p>
    <w:p>
      <w:pPr>
        <w:tabs>
          <w:tab w:val="clear" w:pos="426"/>
        </w:tabs>
      </w:pPr>
      <w:r>
        <w:rPr>
          <w:rFonts w:hint="eastAsia"/>
        </w:rPr>
        <w:t>49.2.2假冒他人名义进行质疑的；</w:t>
      </w:r>
    </w:p>
    <w:p>
      <w:pPr>
        <w:tabs>
          <w:tab w:val="clear" w:pos="426"/>
        </w:tabs>
      </w:pPr>
      <w:r>
        <w:rPr>
          <w:rFonts w:hint="eastAsia"/>
        </w:rPr>
        <w:t>49.2.3拒不配合进行有关调查、情节严重的。</w:t>
      </w:r>
    </w:p>
    <w:p>
      <w:pPr>
        <w:tabs>
          <w:tab w:val="clear" w:pos="426"/>
        </w:tabs>
        <w:rPr>
          <w:b/>
        </w:rPr>
      </w:pPr>
      <w:bookmarkStart w:id="324" w:name="_Toc201997863"/>
      <w:bookmarkStart w:id="325" w:name="_Toc201401601"/>
      <w:bookmarkStart w:id="326" w:name="_Toc201401409"/>
      <w:r>
        <w:rPr>
          <w:rFonts w:hint="eastAsia"/>
        </w:rPr>
        <w:t>50.</w:t>
      </w:r>
      <w:r>
        <w:rPr>
          <w:rFonts w:hint="eastAsia"/>
          <w:b/>
        </w:rPr>
        <w:t>其他</w:t>
      </w:r>
      <w:bookmarkEnd w:id="324"/>
      <w:bookmarkEnd w:id="325"/>
      <w:bookmarkEnd w:id="326"/>
    </w:p>
    <w:p>
      <w:pPr>
        <w:tabs>
          <w:tab w:val="clear" w:pos="426"/>
        </w:tabs>
      </w:pPr>
      <w:r>
        <w:rPr>
          <w:rFonts w:hint="eastAsia"/>
        </w:rPr>
        <w:t>50.1  本单一来源采购文件的解释权归采购代理机构所有，采购代理机构在征得采购人或相关主管部门同意后，有权在法律允许范围内调整本次单一来源采购活动的细节及保留最终解释权。</w:t>
      </w:r>
    </w:p>
    <w:p>
      <w:pPr>
        <w:tabs>
          <w:tab w:val="clear" w:pos="426"/>
        </w:tabs>
      </w:pPr>
      <w:r>
        <w:rPr>
          <w:rFonts w:hint="eastAsia"/>
        </w:rPr>
        <w:t>50.2 采购代理机构向供应商提供的资料和数据，是采购代理机构现有的能供供应商利用的资料，采购代理机构对供应商由此而作出的推论、理解和结论概不负责。</w:t>
      </w:r>
    </w:p>
    <w:p>
      <w:pPr>
        <w:tabs>
          <w:tab w:val="clear" w:pos="426"/>
        </w:tabs>
      </w:pPr>
      <w:r>
        <w:rPr>
          <w:rFonts w:hint="eastAsia"/>
        </w:rPr>
        <w:t>50.3 如果供应商实质上不符合谈判应答资格，即使已购买单一来源采购文件、参加谈判应答并缴纳各种费用，采购代理机构或采购人可以随时取消其谈判应答或成交资格，采购代理机构或采购人对该供应商的一切损失概不责任。</w:t>
      </w:r>
    </w:p>
    <w:p>
      <w:pPr>
        <w:tabs>
          <w:tab w:val="clear" w:pos="426"/>
        </w:tabs>
      </w:pPr>
      <w:r>
        <w:rPr>
          <w:rFonts w:hint="eastAsia"/>
        </w:rPr>
        <w:t>50.4 成交无效的，发出的成交通知书和签订的合同自始没有法律约束力，但不影响合同中存在的有关解决争议方法的条款的效力。</w:t>
      </w:r>
    </w:p>
    <w:p>
      <w:pPr>
        <w:tabs>
          <w:tab w:val="clear" w:pos="426"/>
        </w:tabs>
      </w:pPr>
      <w:r>
        <w:rPr>
          <w:rFonts w:hint="eastAsia"/>
        </w:rPr>
        <w:t>50.5 本单一来源采购文件所有的附件与本单一来源采购文件具有同等效力。</w:t>
      </w:r>
    </w:p>
    <w:p>
      <w:pPr>
        <w:keepNext/>
        <w:keepLines/>
        <w:tabs>
          <w:tab w:val="clear" w:pos="426"/>
        </w:tabs>
        <w:spacing w:before="260" w:after="260" w:line="240" w:lineRule="auto"/>
        <w:textAlignment w:val="baseline"/>
        <w:outlineLvl w:val="1"/>
        <w:rPr>
          <w:rFonts w:cs="Times New Roman"/>
          <w:b/>
          <w:sz w:val="24"/>
          <w:szCs w:val="20"/>
        </w:rPr>
      </w:pPr>
      <w:bookmarkStart w:id="327" w:name="_Toc96519552"/>
      <w:bookmarkStart w:id="328" w:name="_Toc47111238"/>
      <w:r>
        <w:rPr>
          <w:rFonts w:hint="eastAsia" w:cs="Times New Roman"/>
          <w:b/>
          <w:sz w:val="24"/>
          <w:szCs w:val="20"/>
        </w:rPr>
        <w:t>第十章 解释权</w:t>
      </w:r>
      <w:bookmarkEnd w:id="327"/>
      <w:bookmarkEnd w:id="328"/>
    </w:p>
    <w:p>
      <w:pPr>
        <w:tabs>
          <w:tab w:val="clear" w:pos="426"/>
        </w:tabs>
      </w:pPr>
      <w:r>
        <w:rPr>
          <w:rFonts w:hint="eastAsia"/>
        </w:rPr>
        <w:t>51</w:t>
      </w:r>
      <w:r>
        <w:t>.1本单一来源采购文件的最终解释权为深圳市鑫润招标代理有限公司 ,解释以深圳市鑫润招标代理有限公司的解释为准。</w:t>
      </w:r>
    </w:p>
    <w:p>
      <w:pPr>
        <w:tabs>
          <w:tab w:val="clear" w:pos="426"/>
        </w:tabs>
      </w:pPr>
      <w:r>
        <w:rPr>
          <w:rFonts w:hint="eastAsia"/>
        </w:rPr>
        <w:t>51</w:t>
      </w:r>
      <w:r>
        <w:t>.2单一来源采购文件未做须知明示,而又有相关法律、法规规定的,供应商应同时遵守相关法律、法规。</w:t>
      </w:r>
    </w:p>
    <w:p>
      <w:pPr>
        <w:jc w:val="center"/>
      </w:pPr>
    </w:p>
    <w:sectPr>
      <w:pgSz w:w="11906" w:h="16838"/>
      <w:pgMar w:top="1134" w:right="1134" w:bottom="1134" w:left="1418" w:header="851" w:footer="992" w:gutter="0"/>
      <w:cols w:space="425" w:num="1"/>
      <w:titlePg/>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22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 PAGE   \* MERGEFORMAT </w:instrText>
    </w:r>
    <w:r>
      <w:rPr>
        <w:lang w:val="zh-CN"/>
      </w:rPr>
      <w:fldChar w:fldCharType="separate"/>
    </w:r>
    <w:r>
      <w:rPr>
        <w:lang w:val="zh-CN"/>
      </w:rPr>
      <w:t>16</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w:rPr>
        <w:rStyle w:val="49"/>
      </w:rPr>
      <w:fldChar w:fldCharType="begin"/>
    </w:r>
    <w:r>
      <w:rPr>
        <w:rStyle w:val="49"/>
      </w:rPr>
      <w:instrText xml:space="preserve">PAGE  </w:instrText>
    </w:r>
    <w:r>
      <w:rPr>
        <w:rStyle w:val="49"/>
      </w:rPr>
      <w:fldChar w:fldCharType="separate"/>
    </w:r>
    <w:r>
      <w:rPr>
        <w:rStyle w:val="49"/>
      </w:rPr>
      <w:t>65</w:t>
    </w:r>
    <w:r>
      <w:rPr>
        <w:rStyle w:val="49"/>
      </w:rP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3"/>
    </w:pPr>
    <w:r>
      <w:rPr>
        <w:rFonts w:hint="eastAsia"/>
      </w:rPr>
      <w:t>深圳市鑫润谈判代理有限公司单一来源采购文件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3"/>
    </w:pPr>
    <w:r>
      <w:rPr>
        <w:rFonts w:hint="eastAsia"/>
      </w:rPr>
      <w:t>深圳市鑫润谈判代理有限公司单一来源采购文件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pStyle w:val="123"/>
      <w:lvlText w:val=""/>
      <w:lvlJc w:val="left"/>
      <w:pPr>
        <w:ind w:left="8784" w:hanging="420"/>
      </w:pPr>
      <w:rPr>
        <w:rFonts w:hint="default" w:ascii="Wingdings" w:hAnsi="Wingdings"/>
      </w:rPr>
    </w:lvl>
    <w:lvl w:ilvl="1" w:tentative="0">
      <w:start w:val="1"/>
      <w:numFmt w:val="bullet"/>
      <w:lvlText w:val=""/>
      <w:lvlJc w:val="left"/>
      <w:pPr>
        <w:ind w:left="9204" w:hanging="420"/>
      </w:pPr>
      <w:rPr>
        <w:rFonts w:hint="default" w:ascii="Wingdings" w:hAnsi="Wingdings"/>
      </w:rPr>
    </w:lvl>
    <w:lvl w:ilvl="2" w:tentative="0">
      <w:start w:val="1"/>
      <w:numFmt w:val="bullet"/>
      <w:lvlText w:val=""/>
      <w:lvlJc w:val="left"/>
      <w:pPr>
        <w:ind w:left="9624" w:hanging="420"/>
      </w:pPr>
      <w:rPr>
        <w:rFonts w:hint="default" w:ascii="Wingdings" w:hAnsi="Wingdings"/>
      </w:rPr>
    </w:lvl>
    <w:lvl w:ilvl="3" w:tentative="0">
      <w:start w:val="1"/>
      <w:numFmt w:val="bullet"/>
      <w:lvlText w:val=""/>
      <w:lvlJc w:val="left"/>
      <w:pPr>
        <w:ind w:left="10044" w:hanging="420"/>
      </w:pPr>
      <w:rPr>
        <w:rFonts w:hint="default" w:ascii="Wingdings" w:hAnsi="Wingdings"/>
      </w:rPr>
    </w:lvl>
    <w:lvl w:ilvl="4" w:tentative="0">
      <w:start w:val="1"/>
      <w:numFmt w:val="bullet"/>
      <w:lvlText w:val=""/>
      <w:lvlJc w:val="left"/>
      <w:pPr>
        <w:ind w:left="10464" w:hanging="420"/>
      </w:pPr>
      <w:rPr>
        <w:rFonts w:hint="default" w:ascii="Wingdings" w:hAnsi="Wingdings"/>
      </w:rPr>
    </w:lvl>
    <w:lvl w:ilvl="5" w:tentative="0">
      <w:start w:val="1"/>
      <w:numFmt w:val="bullet"/>
      <w:lvlText w:val=""/>
      <w:lvlJc w:val="left"/>
      <w:pPr>
        <w:ind w:left="10884" w:hanging="420"/>
      </w:pPr>
      <w:rPr>
        <w:rFonts w:hint="default" w:ascii="Wingdings" w:hAnsi="Wingdings"/>
      </w:rPr>
    </w:lvl>
    <w:lvl w:ilvl="6" w:tentative="0">
      <w:start w:val="1"/>
      <w:numFmt w:val="bullet"/>
      <w:lvlText w:val=""/>
      <w:lvlJc w:val="left"/>
      <w:pPr>
        <w:ind w:left="11304" w:hanging="420"/>
      </w:pPr>
      <w:rPr>
        <w:rFonts w:hint="default" w:ascii="Wingdings" w:hAnsi="Wingdings"/>
      </w:rPr>
    </w:lvl>
    <w:lvl w:ilvl="7" w:tentative="0">
      <w:start w:val="1"/>
      <w:numFmt w:val="bullet"/>
      <w:lvlText w:val=""/>
      <w:lvlJc w:val="left"/>
      <w:pPr>
        <w:ind w:left="11724" w:hanging="420"/>
      </w:pPr>
      <w:rPr>
        <w:rFonts w:hint="default" w:ascii="Wingdings" w:hAnsi="Wingdings"/>
      </w:rPr>
    </w:lvl>
    <w:lvl w:ilvl="8" w:tentative="0">
      <w:start w:val="1"/>
      <w:numFmt w:val="bullet"/>
      <w:lvlText w:val=""/>
      <w:lvlJc w:val="left"/>
      <w:pPr>
        <w:ind w:left="12144" w:hanging="420"/>
      </w:pPr>
      <w:rPr>
        <w:rFonts w:hint="default" w:ascii="Wingdings" w:hAnsi="Wingdings"/>
      </w:rPr>
    </w:lvl>
  </w:abstractNum>
  <w:abstractNum w:abstractNumId="1">
    <w:nsid w:val="0000000A"/>
    <w:multiLevelType w:val="multilevel"/>
    <w:tmpl w:val="0000000A"/>
    <w:lvl w:ilvl="0" w:tentative="0">
      <w:start w:val="1"/>
      <w:numFmt w:val="bullet"/>
      <w:pStyle w:val="21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0DB0158"/>
    <w:multiLevelType w:val="multilevel"/>
    <w:tmpl w:val="00DB0158"/>
    <w:lvl w:ilvl="0" w:tentative="0">
      <w:start w:val="1"/>
      <w:numFmt w:val="bullet"/>
      <w:pStyle w:val="9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01D320DE"/>
    <w:multiLevelType w:val="multilevel"/>
    <w:tmpl w:val="01D320DE"/>
    <w:lvl w:ilvl="0" w:tentative="0">
      <w:start w:val="1"/>
      <w:numFmt w:val="chineseCountingThousand"/>
      <w:pStyle w:val="133"/>
      <w:lvlText w:val="第%1章"/>
      <w:lvlJc w:val="left"/>
      <w:pPr>
        <w:tabs>
          <w:tab w:val="left" w:pos="1440"/>
        </w:tabs>
        <w:ind w:left="0" w:firstLine="0"/>
      </w:pPr>
      <w:rPr>
        <w:rFonts w:hint="eastAsia"/>
      </w:rPr>
    </w:lvl>
    <w:lvl w:ilvl="1" w:tentative="0">
      <w:start w:val="1"/>
      <w:numFmt w:val="decimal"/>
      <w:pStyle w:val="134"/>
      <w:isLgl/>
      <w:lvlText w:val="%1.%2"/>
      <w:lvlJc w:val="left"/>
      <w:pPr>
        <w:tabs>
          <w:tab w:val="left" w:pos="720"/>
        </w:tabs>
        <w:ind w:left="0" w:firstLine="0"/>
      </w:pPr>
      <w:rPr>
        <w:rFonts w:hint="eastAsia"/>
      </w:rPr>
    </w:lvl>
    <w:lvl w:ilvl="2" w:tentative="0">
      <w:start w:val="1"/>
      <w:numFmt w:val="decimal"/>
      <w:pStyle w:val="135"/>
      <w:isLgl/>
      <w:suff w:val="space"/>
      <w:lvlText w:val="%1.%2.%3"/>
      <w:lvlJc w:val="left"/>
      <w:pPr>
        <w:ind w:left="0" w:firstLine="0"/>
      </w:pPr>
      <w:rPr>
        <w:rFonts w:hint="eastAsia"/>
      </w:rPr>
    </w:lvl>
    <w:lvl w:ilvl="3" w:tentative="0">
      <w:start w:val="1"/>
      <w:numFmt w:val="decimal"/>
      <w:lvlText w:val=""/>
      <w:lvlJc w:val="left"/>
      <w:pPr>
        <w:tabs>
          <w:tab w:val="left" w:pos="360"/>
        </w:tabs>
        <w:ind w:left="0" w:firstLine="0"/>
      </w:pPr>
      <w:rPr>
        <w:rFonts w:hint="eastAsia"/>
      </w:rPr>
    </w:lvl>
    <w:lvl w:ilvl="4" w:tentative="0">
      <w:start w:val="1"/>
      <w:numFmt w:val="decimal"/>
      <w:lvlText w:val=""/>
      <w:lvlJc w:val="left"/>
      <w:pPr>
        <w:tabs>
          <w:tab w:val="left" w:pos="360"/>
        </w:tabs>
        <w:ind w:left="0" w:firstLine="0"/>
      </w:pPr>
      <w:rPr>
        <w:rFonts w:hint="eastAsia"/>
      </w:rPr>
    </w:lvl>
    <w:lvl w:ilvl="5" w:tentative="0">
      <w:start w:val="1"/>
      <w:numFmt w:val="decimal"/>
      <w:lvlText w:val=""/>
      <w:lvlJc w:val="left"/>
      <w:pPr>
        <w:tabs>
          <w:tab w:val="left" w:pos="360"/>
        </w:tabs>
        <w:ind w:left="0" w:firstLine="0"/>
      </w:pPr>
      <w:rPr>
        <w:rFonts w:hint="eastAsia"/>
      </w:rPr>
    </w:lvl>
    <w:lvl w:ilvl="6" w:tentative="0">
      <w:start w:val="1"/>
      <w:numFmt w:val="decimal"/>
      <w:lvlText w:val=""/>
      <w:lvlJc w:val="left"/>
      <w:pPr>
        <w:tabs>
          <w:tab w:val="left" w:pos="360"/>
        </w:tabs>
        <w:ind w:left="0" w:firstLine="0"/>
      </w:pPr>
      <w:rPr>
        <w:rFonts w:hint="eastAsia"/>
      </w:rPr>
    </w:lvl>
    <w:lvl w:ilvl="7" w:tentative="0">
      <w:start w:val="1"/>
      <w:numFmt w:val="decimal"/>
      <w:lvlText w:val=""/>
      <w:lvlJc w:val="left"/>
      <w:pPr>
        <w:tabs>
          <w:tab w:val="left" w:pos="360"/>
        </w:tabs>
        <w:ind w:left="0" w:firstLine="0"/>
      </w:pPr>
      <w:rPr>
        <w:rFonts w:hint="eastAsia"/>
      </w:rPr>
    </w:lvl>
    <w:lvl w:ilvl="8" w:tentative="0">
      <w:start w:val="1"/>
      <w:numFmt w:val="decimal"/>
      <w:lvlText w:val=""/>
      <w:lvlJc w:val="left"/>
      <w:pPr>
        <w:tabs>
          <w:tab w:val="left" w:pos="360"/>
        </w:tabs>
        <w:ind w:left="0" w:firstLine="0"/>
      </w:pPr>
      <w:rPr>
        <w:rFonts w:hint="eastAsia"/>
      </w:rPr>
    </w:lvl>
  </w:abstractNum>
  <w:abstractNum w:abstractNumId="4">
    <w:nsid w:val="06C154E2"/>
    <w:multiLevelType w:val="multilevel"/>
    <w:tmpl w:val="06C154E2"/>
    <w:lvl w:ilvl="0" w:tentative="0">
      <w:start w:val="1"/>
      <w:numFmt w:val="chineseCountingThousand"/>
      <w:pStyle w:val="315"/>
      <w:suff w:val="nothing"/>
      <w:lvlText w:val="%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3F3F51"/>
    <w:multiLevelType w:val="multilevel"/>
    <w:tmpl w:val="0A3F3F51"/>
    <w:lvl w:ilvl="0" w:tentative="0">
      <w:start w:val="1"/>
      <w:numFmt w:val="chineseCountingThousand"/>
      <w:suff w:val="nothing"/>
      <w:lvlText w:val="%1、"/>
      <w:lvlJc w:val="left"/>
      <w:pPr>
        <w:ind w:left="1134" w:firstLine="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2F0412C"/>
    <w:multiLevelType w:val="multilevel"/>
    <w:tmpl w:val="12F0412C"/>
    <w:lvl w:ilvl="0" w:tentative="0">
      <w:start w:val="1"/>
      <w:numFmt w:val="decimal"/>
      <w:suff w:val="nothing"/>
      <w:lvlText w:val="%1"/>
      <w:lvlJc w:val="left"/>
      <w:pPr>
        <w:ind w:left="0" w:firstLine="0"/>
      </w:pPr>
      <w:rPr>
        <w:rFonts w:hint="eastAsia" w:ascii="宋体" w:hAns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AE5335"/>
    <w:multiLevelType w:val="multilevel"/>
    <w:tmpl w:val="16AE5335"/>
    <w:lvl w:ilvl="0" w:tentative="0">
      <w:start w:val="1"/>
      <w:numFmt w:val="decimal"/>
      <w:pStyle w:val="87"/>
      <w:lvlText w:val="图4-%1."/>
      <w:lvlJc w:val="center"/>
      <w:pPr>
        <w:tabs>
          <w:tab w:val="left" w:pos="737"/>
        </w:tabs>
        <w:ind w:left="737" w:hanging="449"/>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96850B8"/>
    <w:multiLevelType w:val="multilevel"/>
    <w:tmpl w:val="196850B8"/>
    <w:lvl w:ilvl="0" w:tentative="0">
      <w:start w:val="1"/>
      <w:numFmt w:val="decimal"/>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9881A83"/>
    <w:multiLevelType w:val="multilevel"/>
    <w:tmpl w:val="19881A83"/>
    <w:lvl w:ilvl="0" w:tentative="0">
      <w:start w:val="1"/>
      <w:numFmt w:val="decimal"/>
      <w:pStyle w:val="326"/>
      <w:suff w:val="nothing"/>
      <w:lvlText w:val="%1."/>
      <w:lvlJc w:val="left"/>
      <w:pPr>
        <w:ind w:left="0" w:firstLine="403"/>
      </w:pPr>
      <w:rPr>
        <w:rFonts w:hint="eastAsia"/>
      </w:rPr>
    </w:lvl>
    <w:lvl w:ilvl="1" w:tentative="0">
      <w:start w:val="1"/>
      <w:numFmt w:val="decimal"/>
      <w:pStyle w:val="328"/>
      <w:suff w:val="nothing"/>
      <w:lvlText w:val="%1.%2."/>
      <w:lvlJc w:val="left"/>
      <w:pPr>
        <w:ind w:left="0" w:firstLine="403"/>
      </w:pPr>
      <w:rPr>
        <w:rFonts w:hint="eastAsia"/>
      </w:rPr>
    </w:lvl>
    <w:lvl w:ilvl="2" w:tentative="0">
      <w:start w:val="1"/>
      <w:numFmt w:val="decimal"/>
      <w:pStyle w:val="329"/>
      <w:suff w:val="nothing"/>
      <w:lvlText w:val="%1.%2.%3."/>
      <w:lvlJc w:val="left"/>
      <w:pPr>
        <w:ind w:left="0" w:firstLine="403"/>
      </w:pPr>
      <w:rPr>
        <w:rFonts w:hint="eastAsia"/>
      </w:rPr>
    </w:lvl>
    <w:lvl w:ilvl="3" w:tentative="0">
      <w:start w:val="1"/>
      <w:numFmt w:val="decimal"/>
      <w:lvlText w:val="%1.%2.%3.%4."/>
      <w:lvlJc w:val="left"/>
      <w:pPr>
        <w:tabs>
          <w:tab w:val="left" w:pos="851"/>
        </w:tabs>
        <w:ind w:left="0" w:firstLine="403"/>
      </w:pPr>
      <w:rPr>
        <w:rFonts w:hint="eastAsia"/>
      </w:rPr>
    </w:lvl>
    <w:lvl w:ilvl="4" w:tentative="0">
      <w:start w:val="1"/>
      <w:numFmt w:val="decimal"/>
      <w:lvlText w:val="%1.%2.%3.%4.%5."/>
      <w:lvlJc w:val="left"/>
      <w:pPr>
        <w:tabs>
          <w:tab w:val="left" w:pos="992"/>
        </w:tabs>
        <w:ind w:left="0" w:firstLine="403"/>
      </w:pPr>
      <w:rPr>
        <w:rFonts w:hint="eastAsia"/>
      </w:rPr>
    </w:lvl>
    <w:lvl w:ilvl="5" w:tentative="0">
      <w:start w:val="1"/>
      <w:numFmt w:val="decimal"/>
      <w:lvlText w:val="%1.%2.%3.%4.%5.%6."/>
      <w:lvlJc w:val="left"/>
      <w:pPr>
        <w:tabs>
          <w:tab w:val="left" w:pos="1134"/>
        </w:tabs>
        <w:ind w:left="0" w:firstLine="403"/>
      </w:pPr>
      <w:rPr>
        <w:rFonts w:hint="eastAsia"/>
      </w:rPr>
    </w:lvl>
    <w:lvl w:ilvl="6" w:tentative="0">
      <w:start w:val="1"/>
      <w:numFmt w:val="decimal"/>
      <w:lvlText w:val="%1.%2.%3.%4.%5.%6.%7."/>
      <w:lvlJc w:val="left"/>
      <w:pPr>
        <w:tabs>
          <w:tab w:val="left" w:pos="1276"/>
        </w:tabs>
        <w:ind w:left="0" w:firstLine="403"/>
      </w:pPr>
      <w:rPr>
        <w:rFonts w:hint="eastAsia"/>
      </w:rPr>
    </w:lvl>
    <w:lvl w:ilvl="7" w:tentative="0">
      <w:start w:val="1"/>
      <w:numFmt w:val="decimal"/>
      <w:lvlText w:val="%1.%2.%3.%4.%5.%6.%7.%8."/>
      <w:lvlJc w:val="left"/>
      <w:pPr>
        <w:tabs>
          <w:tab w:val="left" w:pos="1418"/>
        </w:tabs>
        <w:ind w:left="0" w:firstLine="403"/>
      </w:pPr>
      <w:rPr>
        <w:rFonts w:hint="eastAsia"/>
      </w:rPr>
    </w:lvl>
    <w:lvl w:ilvl="8" w:tentative="0">
      <w:start w:val="1"/>
      <w:numFmt w:val="decimal"/>
      <w:lvlText w:val="%1.%2.%3.%4.%5.%6.%7.%8.%9."/>
      <w:lvlJc w:val="left"/>
      <w:pPr>
        <w:tabs>
          <w:tab w:val="left" w:pos="1559"/>
        </w:tabs>
        <w:ind w:left="0" w:firstLine="403"/>
      </w:pPr>
      <w:rPr>
        <w:rFonts w:hint="eastAsia"/>
      </w:rPr>
    </w:lvl>
  </w:abstractNum>
  <w:abstractNum w:abstractNumId="10">
    <w:nsid w:val="1A1E1C4B"/>
    <w:multiLevelType w:val="multilevel"/>
    <w:tmpl w:val="1A1E1C4B"/>
    <w:lvl w:ilvl="0" w:tentative="0">
      <w:start w:val="1"/>
      <w:numFmt w:val="chineseCountingThousand"/>
      <w:pStyle w:val="91"/>
      <w:lvlText w:val="第%1章"/>
      <w:lvlJc w:val="left"/>
      <w:pPr>
        <w:ind w:left="420" w:hanging="420"/>
      </w:pPr>
      <w:rPr>
        <w:rFonts w:hint="eastAsia"/>
      </w:rPr>
    </w:lvl>
    <w:lvl w:ilvl="1" w:tentative="0">
      <w:start w:val="1"/>
      <w:numFmt w:val="decimal"/>
      <w:lvlText w:val="1.%2"/>
      <w:lvlJc w:val="left"/>
      <w:pPr>
        <w:ind w:left="420" w:hanging="420"/>
      </w:pPr>
      <w:rPr>
        <w:rFonts w:hint="default" w:ascii="Calibri Light" w:hAnsi="Calibri Light" w:eastAsia="宋体" w:cs="Calibri"/>
        <w:sz w:val="32"/>
        <w:szCs w:val="32"/>
      </w:rPr>
    </w:lvl>
    <w:lvl w:ilvl="2" w:tentative="0">
      <w:start w:val="1"/>
      <w:numFmt w:val="decimal"/>
      <w:lvlText w:val="1.1.%3"/>
      <w:lvlJc w:val="left"/>
      <w:pPr>
        <w:ind w:left="420" w:firstLine="147"/>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8200F5E"/>
    <w:multiLevelType w:val="multilevel"/>
    <w:tmpl w:val="28200F5E"/>
    <w:lvl w:ilvl="0" w:tentative="0">
      <w:start w:val="1"/>
      <w:numFmt w:val="decimal"/>
      <w:pStyle w:val="95"/>
      <w:lvlText w:val="%1)"/>
      <w:lvlJc w:val="left"/>
      <w:pPr>
        <w:ind w:left="42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2D2470EB"/>
    <w:multiLevelType w:val="multilevel"/>
    <w:tmpl w:val="2D2470EB"/>
    <w:lvl w:ilvl="0" w:tentative="0">
      <w:start w:val="1"/>
      <w:numFmt w:val="bullet"/>
      <w:lvlText w:val=""/>
      <w:lvlJc w:val="left"/>
      <w:pPr>
        <w:ind w:left="420" w:hanging="420"/>
      </w:pPr>
      <w:rPr>
        <w:rFonts w:hint="default" w:ascii="Wingdings" w:hAnsi="Wingdings"/>
      </w:rPr>
    </w:lvl>
    <w:lvl w:ilvl="1" w:tentative="0">
      <w:start w:val="1"/>
      <w:numFmt w:val="decimal"/>
      <w:pStyle w:val="262"/>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E8F6958"/>
    <w:multiLevelType w:val="multilevel"/>
    <w:tmpl w:val="2E8F6958"/>
    <w:lvl w:ilvl="0" w:tentative="0">
      <w:start w:val="1"/>
      <w:numFmt w:val="decimal"/>
      <w:pStyle w:val="24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37D3508F"/>
    <w:multiLevelType w:val="multilevel"/>
    <w:tmpl w:val="37D3508F"/>
    <w:lvl w:ilvl="0" w:tentative="0">
      <w:start w:val="5"/>
      <w:numFmt w:val="decimal"/>
      <w:lvlText w:val="%1"/>
      <w:lvlJc w:val="left"/>
      <w:pPr>
        <w:tabs>
          <w:tab w:val="left" w:pos="425"/>
        </w:tabs>
        <w:ind w:left="425" w:hanging="425"/>
      </w:pPr>
      <w:rPr>
        <w:rFonts w:hint="eastAsia"/>
      </w:rPr>
    </w:lvl>
    <w:lvl w:ilvl="1" w:tentative="0">
      <w:start w:val="1"/>
      <w:numFmt w:val="decimal"/>
      <w:pStyle w:val="86"/>
      <w:lvlText w:val="%1.%2"/>
      <w:lvlJc w:val="left"/>
      <w:pPr>
        <w:tabs>
          <w:tab w:val="left" w:pos="510"/>
        </w:tabs>
        <w:ind w:left="420" w:hanging="42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3C287EEF"/>
    <w:multiLevelType w:val="multilevel"/>
    <w:tmpl w:val="3C287EEF"/>
    <w:lvl w:ilvl="0" w:tentative="0">
      <w:start w:val="1"/>
      <w:numFmt w:val="decimal"/>
      <w:pStyle w:val="259"/>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786"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CAA55CD"/>
    <w:multiLevelType w:val="multilevel"/>
    <w:tmpl w:val="4CAA55CD"/>
    <w:lvl w:ilvl="0" w:tentative="0">
      <w:start w:val="1"/>
      <w:numFmt w:val="bullet"/>
      <w:pStyle w:val="13"/>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9">
    <w:nsid w:val="570941F9"/>
    <w:multiLevelType w:val="multilevel"/>
    <w:tmpl w:val="570941F9"/>
    <w:lvl w:ilvl="0" w:tentative="0">
      <w:start w:val="1"/>
      <w:numFmt w:val="decimal"/>
      <w:pStyle w:val="138"/>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D4A37DC"/>
    <w:multiLevelType w:val="multilevel"/>
    <w:tmpl w:val="5D4A37DC"/>
    <w:lvl w:ilvl="0" w:tentative="0">
      <w:start w:val="1"/>
      <w:numFmt w:val="decimal"/>
      <w:pStyle w:val="249"/>
      <w:lvlText w:val="%1)"/>
      <w:lvlJc w:val="left"/>
      <w:pPr>
        <w:ind w:left="982" w:hanging="420"/>
      </w:pPr>
    </w:lvl>
    <w:lvl w:ilvl="1" w:tentative="0">
      <w:start w:val="1"/>
      <w:numFmt w:val="lowerLetter"/>
      <w:pStyle w:val="246"/>
      <w:lvlText w:val="%2)"/>
      <w:lvlJc w:val="left"/>
      <w:pPr>
        <w:ind w:left="1402" w:hanging="420"/>
      </w:pPr>
    </w:lvl>
    <w:lvl w:ilvl="2" w:tentative="0">
      <w:start w:val="1"/>
      <w:numFmt w:val="lowerRoman"/>
      <w:pStyle w:val="247"/>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1">
    <w:nsid w:val="5F8239D3"/>
    <w:multiLevelType w:val="singleLevel"/>
    <w:tmpl w:val="5F8239D3"/>
    <w:lvl w:ilvl="0" w:tentative="0">
      <w:start w:val="1"/>
      <w:numFmt w:val="bullet"/>
      <w:pStyle w:val="161"/>
      <w:lvlText w:val=""/>
      <w:lvlJc w:val="left"/>
      <w:pPr>
        <w:tabs>
          <w:tab w:val="left" w:pos="360"/>
        </w:tabs>
        <w:ind w:left="360" w:hanging="360"/>
      </w:pPr>
      <w:rPr>
        <w:rFonts w:hint="default" w:ascii="Wingdings" w:hAnsi="Wingdings"/>
      </w:rPr>
    </w:lvl>
  </w:abstractNum>
  <w:abstractNum w:abstractNumId="22">
    <w:nsid w:val="64253DA1"/>
    <w:multiLevelType w:val="multilevel"/>
    <w:tmpl w:val="64253DA1"/>
    <w:lvl w:ilvl="0" w:tentative="0">
      <w:start w:val="1"/>
      <w:numFmt w:val="decimal"/>
      <w:suff w:val="nothing"/>
      <w:lvlText w:val="%1"/>
      <w:lvlJc w:val="left"/>
      <w:pPr>
        <w:ind w:left="84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23">
    <w:nsid w:val="682F2EA2"/>
    <w:multiLevelType w:val="multilevel"/>
    <w:tmpl w:val="682F2EA2"/>
    <w:lvl w:ilvl="0" w:tentative="0">
      <w:start w:val="1"/>
      <w:numFmt w:val="chineseCountingThousand"/>
      <w:pStyle w:val="229"/>
      <w:lvlText w:val="第%1章"/>
      <w:lvlJc w:val="left"/>
      <w:pPr>
        <w:tabs>
          <w:tab w:val="left" w:pos="340"/>
        </w:tabs>
        <w:ind w:left="0" w:firstLine="0"/>
      </w:pPr>
      <w:rPr>
        <w:rFonts w:hint="eastAsia"/>
      </w:rPr>
    </w:lvl>
    <w:lvl w:ilvl="1" w:tentative="0">
      <w:start w:val="1"/>
      <w:numFmt w:val="decimal"/>
      <w:pStyle w:val="230"/>
      <w:isLgl/>
      <w:suff w:val="space"/>
      <w:lvlText w:val="%1.%2"/>
      <w:lvlJc w:val="left"/>
      <w:pPr>
        <w:ind w:left="0" w:firstLine="0"/>
      </w:pPr>
      <w:rPr>
        <w:rFonts w:hint="eastAsia"/>
      </w:rPr>
    </w:lvl>
    <w:lvl w:ilvl="2" w:tentative="0">
      <w:start w:val="1"/>
      <w:numFmt w:val="decimal"/>
      <w:pStyle w:val="232"/>
      <w:isLgl/>
      <w:suff w:val="space"/>
      <w:lvlText w:val="%1.%2.%3"/>
      <w:lvlJc w:val="left"/>
      <w:pPr>
        <w:ind w:left="0" w:firstLine="0"/>
      </w:pPr>
      <w:rPr>
        <w:rFonts w:hint="eastAsia"/>
      </w:rPr>
    </w:lvl>
    <w:lvl w:ilvl="3" w:tentative="0">
      <w:start w:val="1"/>
      <w:numFmt w:val="decimal"/>
      <w:pStyle w:val="234"/>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236"/>
      <w:isLg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4">
    <w:nsid w:val="6D314D68"/>
    <w:multiLevelType w:val="multilevel"/>
    <w:tmpl w:val="6D314D68"/>
    <w:lvl w:ilvl="0" w:tentative="0">
      <w:start w:val="1"/>
      <w:numFmt w:val="decimal"/>
      <w:pStyle w:val="254"/>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6FAA0F15"/>
    <w:multiLevelType w:val="multilevel"/>
    <w:tmpl w:val="6FAA0F15"/>
    <w:lvl w:ilvl="0" w:tentative="0">
      <w:start w:val="1"/>
      <w:numFmt w:val="chineseCountingThousand"/>
      <w:pStyle w:val="332"/>
      <w:suff w:val="space"/>
      <w:lvlText w:val="第%1条"/>
      <w:lvlJc w:val="left"/>
      <w:pPr>
        <w:ind w:left="0" w:firstLine="422"/>
      </w:pPr>
      <w:rPr>
        <w:rFonts w:hint="eastAsia" w:ascii="宋体" w:hAnsi="宋体" w:eastAsia="宋体"/>
        <w:b/>
        <w:bCs/>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26">
    <w:nsid w:val="726C71F1"/>
    <w:multiLevelType w:val="multilevel"/>
    <w:tmpl w:val="726C71F1"/>
    <w:lvl w:ilvl="0" w:tentative="0">
      <w:start w:val="1"/>
      <w:numFmt w:val="chineseCountingThousand"/>
      <w:pStyle w:val="319"/>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7">
    <w:nsid w:val="734F656C"/>
    <w:multiLevelType w:val="multilevel"/>
    <w:tmpl w:val="734F656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B0E2BCA"/>
    <w:multiLevelType w:val="multilevel"/>
    <w:tmpl w:val="7B0E2BCA"/>
    <w:lvl w:ilvl="0" w:tentative="0">
      <w:start w:val="1"/>
      <w:numFmt w:val="bullet"/>
      <w:pStyle w:val="12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7DD51E1B"/>
    <w:multiLevelType w:val="multilevel"/>
    <w:tmpl w:val="7DD51E1B"/>
    <w:lvl w:ilvl="0" w:tentative="0">
      <w:start w:val="1"/>
      <w:numFmt w:val="decimal"/>
      <w:pStyle w:val="219"/>
      <w:suff w:val="space"/>
      <w:lvlText w:val="%1"/>
      <w:lvlJc w:val="left"/>
      <w:pPr>
        <w:ind w:left="0" w:firstLine="0"/>
      </w:pPr>
      <w:rPr>
        <w:rFonts w:hint="eastAsia"/>
      </w:rPr>
    </w:lvl>
    <w:lvl w:ilvl="1" w:tentative="0">
      <w:start w:val="1"/>
      <w:numFmt w:val="decimal"/>
      <w:pStyle w:val="221"/>
      <w:suff w:val="space"/>
      <w:lvlText w:val="%1.%2"/>
      <w:lvlJc w:val="left"/>
      <w:pPr>
        <w:ind w:left="0" w:firstLine="0"/>
      </w:pPr>
      <w:rPr>
        <w:rFonts w:hint="eastAsia"/>
      </w:rPr>
    </w:lvl>
    <w:lvl w:ilvl="2" w:tentative="0">
      <w:start w:val="1"/>
      <w:numFmt w:val="decimal"/>
      <w:pStyle w:val="223"/>
      <w:suff w:val="space"/>
      <w:lvlText w:val="%1.%2.%3"/>
      <w:lvlJc w:val="left"/>
      <w:pPr>
        <w:ind w:left="0" w:firstLine="0"/>
      </w:pPr>
      <w:rPr>
        <w:rFonts w:hint="eastAsia"/>
      </w:rPr>
    </w:lvl>
    <w:lvl w:ilvl="3" w:tentative="0">
      <w:start w:val="1"/>
      <w:numFmt w:val="decimal"/>
      <w:pStyle w:val="225"/>
      <w:suff w:val="space"/>
      <w:lvlText w:val="%1.%2.%3.%4"/>
      <w:lvlJc w:val="left"/>
      <w:pPr>
        <w:ind w:left="0" w:firstLine="0"/>
      </w:pPr>
      <w:rPr>
        <w:rFonts w:hint="eastAsia"/>
      </w:rPr>
    </w:lvl>
    <w:lvl w:ilvl="4" w:tentative="0">
      <w:start w:val="1"/>
      <w:numFmt w:val="decimal"/>
      <w:pStyle w:val="227"/>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8"/>
  </w:num>
  <w:num w:numId="2">
    <w:abstractNumId w:val="15"/>
  </w:num>
  <w:num w:numId="3">
    <w:abstractNumId w:val="7"/>
  </w:num>
  <w:num w:numId="4">
    <w:abstractNumId w:val="10"/>
  </w:num>
  <w:num w:numId="5">
    <w:abstractNumId w:val="2"/>
  </w:num>
  <w:num w:numId="6">
    <w:abstractNumId w:val="12"/>
  </w:num>
  <w:num w:numId="7">
    <w:abstractNumId w:val="0"/>
  </w:num>
  <w:num w:numId="8">
    <w:abstractNumId w:val="28"/>
  </w:num>
  <w:num w:numId="9">
    <w:abstractNumId w:val="3"/>
  </w:num>
  <w:num w:numId="10">
    <w:abstractNumId w:val="19"/>
  </w:num>
  <w:num w:numId="11">
    <w:abstractNumId w:val="21"/>
  </w:num>
  <w:num w:numId="12">
    <w:abstractNumId w:val="1"/>
  </w:num>
  <w:num w:numId="13">
    <w:abstractNumId w:val="29"/>
  </w:num>
  <w:num w:numId="14">
    <w:abstractNumId w:val="23"/>
  </w:num>
  <w:num w:numId="15">
    <w:abstractNumId w:val="14"/>
  </w:num>
  <w:num w:numId="16">
    <w:abstractNumId w:val="20"/>
  </w:num>
  <w:num w:numId="17">
    <w:abstractNumId w:val="24"/>
  </w:num>
  <w:num w:numId="18">
    <w:abstractNumId w:val="16"/>
  </w:num>
  <w:num w:numId="19">
    <w:abstractNumId w:val="13"/>
  </w:num>
  <w:num w:numId="20">
    <w:abstractNumId w:val="4"/>
  </w:num>
  <w:num w:numId="21">
    <w:abstractNumId w:val="26"/>
  </w:num>
  <w:num w:numId="22">
    <w:abstractNumId w:val="9"/>
  </w:num>
  <w:num w:numId="23">
    <w:abstractNumId w:val="25"/>
  </w:num>
  <w:num w:numId="24">
    <w:abstractNumId w:val="27"/>
  </w:num>
  <w:num w:numId="25">
    <w:abstractNumId w:val="22"/>
  </w:num>
  <w:num w:numId="26">
    <w:abstractNumId w:val="8"/>
  </w:num>
  <w:num w:numId="27">
    <w:abstractNumId w:val="6"/>
  </w:num>
  <w:num w:numId="28">
    <w:abstractNumId w:val="5"/>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8E6"/>
    <w:rsid w:val="00000915"/>
    <w:rsid w:val="00000941"/>
    <w:rsid w:val="00000AFB"/>
    <w:rsid w:val="00000D22"/>
    <w:rsid w:val="00000DA4"/>
    <w:rsid w:val="000011F7"/>
    <w:rsid w:val="0000145B"/>
    <w:rsid w:val="0000159C"/>
    <w:rsid w:val="00001AEA"/>
    <w:rsid w:val="00001CE0"/>
    <w:rsid w:val="00002C01"/>
    <w:rsid w:val="00002DB5"/>
    <w:rsid w:val="00002F9F"/>
    <w:rsid w:val="00003242"/>
    <w:rsid w:val="000036F7"/>
    <w:rsid w:val="000038EB"/>
    <w:rsid w:val="00003CC2"/>
    <w:rsid w:val="00004225"/>
    <w:rsid w:val="00004251"/>
    <w:rsid w:val="00004654"/>
    <w:rsid w:val="00004677"/>
    <w:rsid w:val="0000488C"/>
    <w:rsid w:val="00004952"/>
    <w:rsid w:val="00004C87"/>
    <w:rsid w:val="00005215"/>
    <w:rsid w:val="00005790"/>
    <w:rsid w:val="00005A10"/>
    <w:rsid w:val="00005AB7"/>
    <w:rsid w:val="00005AFC"/>
    <w:rsid w:val="00006255"/>
    <w:rsid w:val="00006839"/>
    <w:rsid w:val="00006D66"/>
    <w:rsid w:val="00007531"/>
    <w:rsid w:val="00007E0C"/>
    <w:rsid w:val="00007FCD"/>
    <w:rsid w:val="00010102"/>
    <w:rsid w:val="00010129"/>
    <w:rsid w:val="00010A6F"/>
    <w:rsid w:val="00010CED"/>
    <w:rsid w:val="00011500"/>
    <w:rsid w:val="0001175B"/>
    <w:rsid w:val="000124E2"/>
    <w:rsid w:val="0001275D"/>
    <w:rsid w:val="000128AD"/>
    <w:rsid w:val="00012C0A"/>
    <w:rsid w:val="000132C1"/>
    <w:rsid w:val="00013FCB"/>
    <w:rsid w:val="00014026"/>
    <w:rsid w:val="00014E10"/>
    <w:rsid w:val="00014F58"/>
    <w:rsid w:val="000151D5"/>
    <w:rsid w:val="00015204"/>
    <w:rsid w:val="00015433"/>
    <w:rsid w:val="000154D8"/>
    <w:rsid w:val="000156DA"/>
    <w:rsid w:val="00015968"/>
    <w:rsid w:val="00015E98"/>
    <w:rsid w:val="0001634A"/>
    <w:rsid w:val="00016D58"/>
    <w:rsid w:val="00017112"/>
    <w:rsid w:val="0001716B"/>
    <w:rsid w:val="0001792D"/>
    <w:rsid w:val="0001794C"/>
    <w:rsid w:val="00020150"/>
    <w:rsid w:val="00020321"/>
    <w:rsid w:val="000207D0"/>
    <w:rsid w:val="0002080C"/>
    <w:rsid w:val="0002084D"/>
    <w:rsid w:val="000208EF"/>
    <w:rsid w:val="000211EA"/>
    <w:rsid w:val="000218B0"/>
    <w:rsid w:val="000218B8"/>
    <w:rsid w:val="00021FA4"/>
    <w:rsid w:val="00022196"/>
    <w:rsid w:val="00022548"/>
    <w:rsid w:val="00022E19"/>
    <w:rsid w:val="000234B2"/>
    <w:rsid w:val="0002382E"/>
    <w:rsid w:val="00023975"/>
    <w:rsid w:val="0002401D"/>
    <w:rsid w:val="000244E1"/>
    <w:rsid w:val="000245FE"/>
    <w:rsid w:val="00024AF9"/>
    <w:rsid w:val="000252D1"/>
    <w:rsid w:val="00025429"/>
    <w:rsid w:val="00025673"/>
    <w:rsid w:val="00025E39"/>
    <w:rsid w:val="000265CD"/>
    <w:rsid w:val="00026A09"/>
    <w:rsid w:val="00027D88"/>
    <w:rsid w:val="000301E0"/>
    <w:rsid w:val="0003053A"/>
    <w:rsid w:val="000306B1"/>
    <w:rsid w:val="0003072D"/>
    <w:rsid w:val="00031196"/>
    <w:rsid w:val="0003142E"/>
    <w:rsid w:val="0003148B"/>
    <w:rsid w:val="00031700"/>
    <w:rsid w:val="00031A5B"/>
    <w:rsid w:val="00031D94"/>
    <w:rsid w:val="00031E25"/>
    <w:rsid w:val="00031F18"/>
    <w:rsid w:val="00031F6E"/>
    <w:rsid w:val="00032001"/>
    <w:rsid w:val="00032090"/>
    <w:rsid w:val="000325A7"/>
    <w:rsid w:val="00032AF9"/>
    <w:rsid w:val="00032B23"/>
    <w:rsid w:val="00032BA5"/>
    <w:rsid w:val="00032C22"/>
    <w:rsid w:val="0003373D"/>
    <w:rsid w:val="000339DE"/>
    <w:rsid w:val="00033B7B"/>
    <w:rsid w:val="00034B41"/>
    <w:rsid w:val="0003503F"/>
    <w:rsid w:val="00035163"/>
    <w:rsid w:val="00035A15"/>
    <w:rsid w:val="0003617B"/>
    <w:rsid w:val="00036E72"/>
    <w:rsid w:val="0003705B"/>
    <w:rsid w:val="00037281"/>
    <w:rsid w:val="000372DD"/>
    <w:rsid w:val="000377F6"/>
    <w:rsid w:val="00037F52"/>
    <w:rsid w:val="00037F54"/>
    <w:rsid w:val="0004000A"/>
    <w:rsid w:val="00040715"/>
    <w:rsid w:val="00040A4B"/>
    <w:rsid w:val="00040D3C"/>
    <w:rsid w:val="0004120F"/>
    <w:rsid w:val="000412AB"/>
    <w:rsid w:val="0004154A"/>
    <w:rsid w:val="00041B72"/>
    <w:rsid w:val="00041B9A"/>
    <w:rsid w:val="00041E1A"/>
    <w:rsid w:val="00041E58"/>
    <w:rsid w:val="00042BE4"/>
    <w:rsid w:val="00042CE2"/>
    <w:rsid w:val="00043131"/>
    <w:rsid w:val="0004348E"/>
    <w:rsid w:val="00043819"/>
    <w:rsid w:val="00043956"/>
    <w:rsid w:val="00043A89"/>
    <w:rsid w:val="00043F34"/>
    <w:rsid w:val="00044204"/>
    <w:rsid w:val="00044591"/>
    <w:rsid w:val="00044926"/>
    <w:rsid w:val="00045167"/>
    <w:rsid w:val="000451DF"/>
    <w:rsid w:val="0004538E"/>
    <w:rsid w:val="00045739"/>
    <w:rsid w:val="000457A8"/>
    <w:rsid w:val="00045AD6"/>
    <w:rsid w:val="0004685B"/>
    <w:rsid w:val="00046F68"/>
    <w:rsid w:val="00047702"/>
    <w:rsid w:val="0004790E"/>
    <w:rsid w:val="00047A43"/>
    <w:rsid w:val="00047EF0"/>
    <w:rsid w:val="0005087F"/>
    <w:rsid w:val="000510B6"/>
    <w:rsid w:val="0005157F"/>
    <w:rsid w:val="00051D3E"/>
    <w:rsid w:val="00051F3F"/>
    <w:rsid w:val="0005204E"/>
    <w:rsid w:val="00052798"/>
    <w:rsid w:val="00052BC1"/>
    <w:rsid w:val="000530A4"/>
    <w:rsid w:val="0005328F"/>
    <w:rsid w:val="00053715"/>
    <w:rsid w:val="0005381C"/>
    <w:rsid w:val="000538BE"/>
    <w:rsid w:val="00053A25"/>
    <w:rsid w:val="00054E27"/>
    <w:rsid w:val="0005506C"/>
    <w:rsid w:val="00055256"/>
    <w:rsid w:val="000557BC"/>
    <w:rsid w:val="0005582B"/>
    <w:rsid w:val="00055996"/>
    <w:rsid w:val="00055BF3"/>
    <w:rsid w:val="00055C4B"/>
    <w:rsid w:val="00055F5C"/>
    <w:rsid w:val="000566D1"/>
    <w:rsid w:val="0005677F"/>
    <w:rsid w:val="00056E39"/>
    <w:rsid w:val="00057332"/>
    <w:rsid w:val="0005740C"/>
    <w:rsid w:val="00057630"/>
    <w:rsid w:val="000576F3"/>
    <w:rsid w:val="00060095"/>
    <w:rsid w:val="000601F6"/>
    <w:rsid w:val="0006026B"/>
    <w:rsid w:val="000602D1"/>
    <w:rsid w:val="0006039A"/>
    <w:rsid w:val="00060CA8"/>
    <w:rsid w:val="00060E5A"/>
    <w:rsid w:val="000612D5"/>
    <w:rsid w:val="0006171E"/>
    <w:rsid w:val="00061AC1"/>
    <w:rsid w:val="00061BBA"/>
    <w:rsid w:val="00061BDE"/>
    <w:rsid w:val="00061DCB"/>
    <w:rsid w:val="0006267A"/>
    <w:rsid w:val="0006269C"/>
    <w:rsid w:val="00062882"/>
    <w:rsid w:val="00062BA0"/>
    <w:rsid w:val="00062C42"/>
    <w:rsid w:val="00062E92"/>
    <w:rsid w:val="00063131"/>
    <w:rsid w:val="000638E3"/>
    <w:rsid w:val="00063BC7"/>
    <w:rsid w:val="00063CD3"/>
    <w:rsid w:val="00063F40"/>
    <w:rsid w:val="00063FD9"/>
    <w:rsid w:val="00064AF3"/>
    <w:rsid w:val="00064B21"/>
    <w:rsid w:val="00065C8A"/>
    <w:rsid w:val="00065FC1"/>
    <w:rsid w:val="00066377"/>
    <w:rsid w:val="0006640B"/>
    <w:rsid w:val="0006670C"/>
    <w:rsid w:val="00067317"/>
    <w:rsid w:val="00067390"/>
    <w:rsid w:val="00067A02"/>
    <w:rsid w:val="00067B7F"/>
    <w:rsid w:val="00067D5E"/>
    <w:rsid w:val="000702E0"/>
    <w:rsid w:val="00070409"/>
    <w:rsid w:val="0007051D"/>
    <w:rsid w:val="00070736"/>
    <w:rsid w:val="000709E4"/>
    <w:rsid w:val="00071793"/>
    <w:rsid w:val="00072DD1"/>
    <w:rsid w:val="00073180"/>
    <w:rsid w:val="000732C9"/>
    <w:rsid w:val="00073489"/>
    <w:rsid w:val="000736F6"/>
    <w:rsid w:val="00073E77"/>
    <w:rsid w:val="000740B8"/>
    <w:rsid w:val="0007455E"/>
    <w:rsid w:val="000750DC"/>
    <w:rsid w:val="0007542D"/>
    <w:rsid w:val="00075C4A"/>
    <w:rsid w:val="00076380"/>
    <w:rsid w:val="000764D8"/>
    <w:rsid w:val="0007674A"/>
    <w:rsid w:val="00077188"/>
    <w:rsid w:val="0007777F"/>
    <w:rsid w:val="000777B6"/>
    <w:rsid w:val="00080925"/>
    <w:rsid w:val="0008103C"/>
    <w:rsid w:val="00081A6E"/>
    <w:rsid w:val="000820FF"/>
    <w:rsid w:val="00082667"/>
    <w:rsid w:val="00083479"/>
    <w:rsid w:val="0008398E"/>
    <w:rsid w:val="00083A13"/>
    <w:rsid w:val="00083AAF"/>
    <w:rsid w:val="00083DA4"/>
    <w:rsid w:val="00083DC6"/>
    <w:rsid w:val="0008409D"/>
    <w:rsid w:val="00084A85"/>
    <w:rsid w:val="00085023"/>
    <w:rsid w:val="0008505A"/>
    <w:rsid w:val="00085592"/>
    <w:rsid w:val="00085624"/>
    <w:rsid w:val="00085B5B"/>
    <w:rsid w:val="000862AC"/>
    <w:rsid w:val="000864B8"/>
    <w:rsid w:val="000869D8"/>
    <w:rsid w:val="00086A1E"/>
    <w:rsid w:val="00086C4F"/>
    <w:rsid w:val="00087A08"/>
    <w:rsid w:val="00090A99"/>
    <w:rsid w:val="00090F71"/>
    <w:rsid w:val="00091179"/>
    <w:rsid w:val="0009141A"/>
    <w:rsid w:val="0009154A"/>
    <w:rsid w:val="00091843"/>
    <w:rsid w:val="00091BDA"/>
    <w:rsid w:val="00091DAC"/>
    <w:rsid w:val="000924E5"/>
    <w:rsid w:val="00092590"/>
    <w:rsid w:val="0009269A"/>
    <w:rsid w:val="000927D9"/>
    <w:rsid w:val="00092CD0"/>
    <w:rsid w:val="00092FC7"/>
    <w:rsid w:val="00093003"/>
    <w:rsid w:val="00094373"/>
    <w:rsid w:val="00094A99"/>
    <w:rsid w:val="00094EB7"/>
    <w:rsid w:val="000950A7"/>
    <w:rsid w:val="00095368"/>
    <w:rsid w:val="00095480"/>
    <w:rsid w:val="000954D5"/>
    <w:rsid w:val="0009550F"/>
    <w:rsid w:val="00095747"/>
    <w:rsid w:val="00095778"/>
    <w:rsid w:val="00095A25"/>
    <w:rsid w:val="0009618D"/>
    <w:rsid w:val="000961F2"/>
    <w:rsid w:val="00096ED1"/>
    <w:rsid w:val="0009709B"/>
    <w:rsid w:val="00097545"/>
    <w:rsid w:val="0009778F"/>
    <w:rsid w:val="000A0441"/>
    <w:rsid w:val="000A0B8E"/>
    <w:rsid w:val="000A1206"/>
    <w:rsid w:val="000A15F4"/>
    <w:rsid w:val="000A1DFD"/>
    <w:rsid w:val="000A1ECE"/>
    <w:rsid w:val="000A21E9"/>
    <w:rsid w:val="000A2346"/>
    <w:rsid w:val="000A2470"/>
    <w:rsid w:val="000A2927"/>
    <w:rsid w:val="000A2B24"/>
    <w:rsid w:val="000A2C6D"/>
    <w:rsid w:val="000A48A7"/>
    <w:rsid w:val="000A5537"/>
    <w:rsid w:val="000A553D"/>
    <w:rsid w:val="000A599B"/>
    <w:rsid w:val="000A63BC"/>
    <w:rsid w:val="000A6B4F"/>
    <w:rsid w:val="000A6BCB"/>
    <w:rsid w:val="000A6BD4"/>
    <w:rsid w:val="000A6EE8"/>
    <w:rsid w:val="000A6F39"/>
    <w:rsid w:val="000A71B6"/>
    <w:rsid w:val="000A7726"/>
    <w:rsid w:val="000A7F87"/>
    <w:rsid w:val="000B00F8"/>
    <w:rsid w:val="000B05E2"/>
    <w:rsid w:val="000B10EB"/>
    <w:rsid w:val="000B11E0"/>
    <w:rsid w:val="000B1345"/>
    <w:rsid w:val="000B209F"/>
    <w:rsid w:val="000B2568"/>
    <w:rsid w:val="000B2BAE"/>
    <w:rsid w:val="000B2BB0"/>
    <w:rsid w:val="000B2EDD"/>
    <w:rsid w:val="000B381C"/>
    <w:rsid w:val="000B3AFE"/>
    <w:rsid w:val="000B3E2A"/>
    <w:rsid w:val="000B3E92"/>
    <w:rsid w:val="000B428A"/>
    <w:rsid w:val="000B44C8"/>
    <w:rsid w:val="000B456B"/>
    <w:rsid w:val="000B4591"/>
    <w:rsid w:val="000B4777"/>
    <w:rsid w:val="000B4988"/>
    <w:rsid w:val="000B4A23"/>
    <w:rsid w:val="000B524E"/>
    <w:rsid w:val="000B5447"/>
    <w:rsid w:val="000B56CC"/>
    <w:rsid w:val="000B5B15"/>
    <w:rsid w:val="000B6142"/>
    <w:rsid w:val="000B6616"/>
    <w:rsid w:val="000B6961"/>
    <w:rsid w:val="000B69EB"/>
    <w:rsid w:val="000B6B59"/>
    <w:rsid w:val="000B6DE4"/>
    <w:rsid w:val="000B738D"/>
    <w:rsid w:val="000B73D3"/>
    <w:rsid w:val="000B7745"/>
    <w:rsid w:val="000B7AF7"/>
    <w:rsid w:val="000C0173"/>
    <w:rsid w:val="000C01EA"/>
    <w:rsid w:val="000C0559"/>
    <w:rsid w:val="000C0A07"/>
    <w:rsid w:val="000C1C71"/>
    <w:rsid w:val="000C1E5E"/>
    <w:rsid w:val="000C1EE4"/>
    <w:rsid w:val="000C2377"/>
    <w:rsid w:val="000C2446"/>
    <w:rsid w:val="000C2722"/>
    <w:rsid w:val="000C2983"/>
    <w:rsid w:val="000C2FC5"/>
    <w:rsid w:val="000C3224"/>
    <w:rsid w:val="000C32DF"/>
    <w:rsid w:val="000C3360"/>
    <w:rsid w:val="000C37DA"/>
    <w:rsid w:val="000C3C43"/>
    <w:rsid w:val="000C3D9C"/>
    <w:rsid w:val="000C427C"/>
    <w:rsid w:val="000C4425"/>
    <w:rsid w:val="000C4C08"/>
    <w:rsid w:val="000C5044"/>
    <w:rsid w:val="000C50BE"/>
    <w:rsid w:val="000C5129"/>
    <w:rsid w:val="000C580F"/>
    <w:rsid w:val="000C5B89"/>
    <w:rsid w:val="000C5F59"/>
    <w:rsid w:val="000C61EA"/>
    <w:rsid w:val="000C6975"/>
    <w:rsid w:val="000C6BA7"/>
    <w:rsid w:val="000C70F7"/>
    <w:rsid w:val="000C7CA5"/>
    <w:rsid w:val="000C7D81"/>
    <w:rsid w:val="000D056E"/>
    <w:rsid w:val="000D1003"/>
    <w:rsid w:val="000D1055"/>
    <w:rsid w:val="000D1275"/>
    <w:rsid w:val="000D12AA"/>
    <w:rsid w:val="000D1A7D"/>
    <w:rsid w:val="000D1C28"/>
    <w:rsid w:val="000D2309"/>
    <w:rsid w:val="000D2363"/>
    <w:rsid w:val="000D2390"/>
    <w:rsid w:val="000D23AD"/>
    <w:rsid w:val="000D28BC"/>
    <w:rsid w:val="000D2C15"/>
    <w:rsid w:val="000D336F"/>
    <w:rsid w:val="000D350D"/>
    <w:rsid w:val="000D35B7"/>
    <w:rsid w:val="000D38F9"/>
    <w:rsid w:val="000D3BBC"/>
    <w:rsid w:val="000D40F0"/>
    <w:rsid w:val="000D43FD"/>
    <w:rsid w:val="000D495E"/>
    <w:rsid w:val="000D4AB2"/>
    <w:rsid w:val="000D4CFC"/>
    <w:rsid w:val="000D4E09"/>
    <w:rsid w:val="000D53B3"/>
    <w:rsid w:val="000D54E8"/>
    <w:rsid w:val="000D5864"/>
    <w:rsid w:val="000D58D2"/>
    <w:rsid w:val="000D5DD9"/>
    <w:rsid w:val="000D601C"/>
    <w:rsid w:val="000D6197"/>
    <w:rsid w:val="000D66C8"/>
    <w:rsid w:val="000D695F"/>
    <w:rsid w:val="000D6AF1"/>
    <w:rsid w:val="000D6DA4"/>
    <w:rsid w:val="000D7130"/>
    <w:rsid w:val="000D774A"/>
    <w:rsid w:val="000D7BA2"/>
    <w:rsid w:val="000E0040"/>
    <w:rsid w:val="000E01F1"/>
    <w:rsid w:val="000E0227"/>
    <w:rsid w:val="000E02DA"/>
    <w:rsid w:val="000E065D"/>
    <w:rsid w:val="000E0885"/>
    <w:rsid w:val="000E0B82"/>
    <w:rsid w:val="000E121E"/>
    <w:rsid w:val="000E14A4"/>
    <w:rsid w:val="000E14C6"/>
    <w:rsid w:val="000E166A"/>
    <w:rsid w:val="000E1759"/>
    <w:rsid w:val="000E1C23"/>
    <w:rsid w:val="000E23C2"/>
    <w:rsid w:val="000E27E1"/>
    <w:rsid w:val="000E2EC0"/>
    <w:rsid w:val="000E2F34"/>
    <w:rsid w:val="000E301B"/>
    <w:rsid w:val="000E34E1"/>
    <w:rsid w:val="000E35D4"/>
    <w:rsid w:val="000E3626"/>
    <w:rsid w:val="000E3B90"/>
    <w:rsid w:val="000E4687"/>
    <w:rsid w:val="000E4C05"/>
    <w:rsid w:val="000E4DE8"/>
    <w:rsid w:val="000E5CC7"/>
    <w:rsid w:val="000E60B2"/>
    <w:rsid w:val="000E6531"/>
    <w:rsid w:val="000E6931"/>
    <w:rsid w:val="000E69FE"/>
    <w:rsid w:val="000E6C5E"/>
    <w:rsid w:val="000E6C9A"/>
    <w:rsid w:val="000E6EC0"/>
    <w:rsid w:val="000E7D2D"/>
    <w:rsid w:val="000F0300"/>
    <w:rsid w:val="000F087F"/>
    <w:rsid w:val="000F179C"/>
    <w:rsid w:val="000F1FA3"/>
    <w:rsid w:val="000F2065"/>
    <w:rsid w:val="000F2359"/>
    <w:rsid w:val="000F2A88"/>
    <w:rsid w:val="000F2D1B"/>
    <w:rsid w:val="000F353A"/>
    <w:rsid w:val="000F3A80"/>
    <w:rsid w:val="000F3ADB"/>
    <w:rsid w:val="000F3FA1"/>
    <w:rsid w:val="000F4200"/>
    <w:rsid w:val="000F4351"/>
    <w:rsid w:val="000F45A9"/>
    <w:rsid w:val="000F4752"/>
    <w:rsid w:val="000F48D9"/>
    <w:rsid w:val="000F4B7E"/>
    <w:rsid w:val="000F4C57"/>
    <w:rsid w:val="000F4E82"/>
    <w:rsid w:val="000F4FAD"/>
    <w:rsid w:val="000F514E"/>
    <w:rsid w:val="000F51DA"/>
    <w:rsid w:val="000F5577"/>
    <w:rsid w:val="000F565B"/>
    <w:rsid w:val="000F57BF"/>
    <w:rsid w:val="000F5A30"/>
    <w:rsid w:val="000F5F3F"/>
    <w:rsid w:val="000F6124"/>
    <w:rsid w:val="000F67AA"/>
    <w:rsid w:val="000F7D24"/>
    <w:rsid w:val="000F7F23"/>
    <w:rsid w:val="0010004A"/>
    <w:rsid w:val="001005C3"/>
    <w:rsid w:val="001011A9"/>
    <w:rsid w:val="001018E7"/>
    <w:rsid w:val="00101ACF"/>
    <w:rsid w:val="00101C3F"/>
    <w:rsid w:val="00101DD0"/>
    <w:rsid w:val="00102555"/>
    <w:rsid w:val="00102F06"/>
    <w:rsid w:val="00103308"/>
    <w:rsid w:val="0010339A"/>
    <w:rsid w:val="00103DFC"/>
    <w:rsid w:val="001047E8"/>
    <w:rsid w:val="00104B2A"/>
    <w:rsid w:val="00104BD5"/>
    <w:rsid w:val="00104F15"/>
    <w:rsid w:val="001051A9"/>
    <w:rsid w:val="001055FD"/>
    <w:rsid w:val="0010562D"/>
    <w:rsid w:val="00105B3E"/>
    <w:rsid w:val="00105BA0"/>
    <w:rsid w:val="00105CCD"/>
    <w:rsid w:val="001061D3"/>
    <w:rsid w:val="00106748"/>
    <w:rsid w:val="001068B3"/>
    <w:rsid w:val="001075B1"/>
    <w:rsid w:val="001078A4"/>
    <w:rsid w:val="00107958"/>
    <w:rsid w:val="00107D54"/>
    <w:rsid w:val="00110079"/>
    <w:rsid w:val="00110173"/>
    <w:rsid w:val="00110614"/>
    <w:rsid w:val="00110A90"/>
    <w:rsid w:val="0011108B"/>
    <w:rsid w:val="001111F7"/>
    <w:rsid w:val="00111A14"/>
    <w:rsid w:val="00111AE0"/>
    <w:rsid w:val="001123DA"/>
    <w:rsid w:val="00112E7A"/>
    <w:rsid w:val="00113890"/>
    <w:rsid w:val="001138DA"/>
    <w:rsid w:val="00113D88"/>
    <w:rsid w:val="00114744"/>
    <w:rsid w:val="00115711"/>
    <w:rsid w:val="001157B1"/>
    <w:rsid w:val="0011585F"/>
    <w:rsid w:val="00115A55"/>
    <w:rsid w:val="00115AD7"/>
    <w:rsid w:val="001167F1"/>
    <w:rsid w:val="00116971"/>
    <w:rsid w:val="00116DA4"/>
    <w:rsid w:val="001172D4"/>
    <w:rsid w:val="00117316"/>
    <w:rsid w:val="00117A19"/>
    <w:rsid w:val="001208AF"/>
    <w:rsid w:val="001209BD"/>
    <w:rsid w:val="00120A84"/>
    <w:rsid w:val="00120D59"/>
    <w:rsid w:val="00121047"/>
    <w:rsid w:val="001212EF"/>
    <w:rsid w:val="001215C5"/>
    <w:rsid w:val="001217DC"/>
    <w:rsid w:val="001218E3"/>
    <w:rsid w:val="00121AA9"/>
    <w:rsid w:val="00121F79"/>
    <w:rsid w:val="0012203F"/>
    <w:rsid w:val="0012251B"/>
    <w:rsid w:val="00122873"/>
    <w:rsid w:val="001229E5"/>
    <w:rsid w:val="00122E0D"/>
    <w:rsid w:val="00122EAA"/>
    <w:rsid w:val="00123243"/>
    <w:rsid w:val="00123455"/>
    <w:rsid w:val="00123CC6"/>
    <w:rsid w:val="001240F8"/>
    <w:rsid w:val="001241FC"/>
    <w:rsid w:val="00125202"/>
    <w:rsid w:val="00125AEC"/>
    <w:rsid w:val="00125C68"/>
    <w:rsid w:val="00125C8A"/>
    <w:rsid w:val="00125D0A"/>
    <w:rsid w:val="00125E70"/>
    <w:rsid w:val="00125E74"/>
    <w:rsid w:val="00126080"/>
    <w:rsid w:val="001264D8"/>
    <w:rsid w:val="00126953"/>
    <w:rsid w:val="00126AD5"/>
    <w:rsid w:val="00126C43"/>
    <w:rsid w:val="00126E4A"/>
    <w:rsid w:val="00126EEB"/>
    <w:rsid w:val="00127777"/>
    <w:rsid w:val="00127D68"/>
    <w:rsid w:val="001305BF"/>
    <w:rsid w:val="001307D9"/>
    <w:rsid w:val="00130827"/>
    <w:rsid w:val="001308A2"/>
    <w:rsid w:val="00130C56"/>
    <w:rsid w:val="00131668"/>
    <w:rsid w:val="001318C4"/>
    <w:rsid w:val="001319AB"/>
    <w:rsid w:val="001321FC"/>
    <w:rsid w:val="0013288F"/>
    <w:rsid w:val="00132A32"/>
    <w:rsid w:val="00132C86"/>
    <w:rsid w:val="00132F55"/>
    <w:rsid w:val="00132FAF"/>
    <w:rsid w:val="001330B3"/>
    <w:rsid w:val="0013315D"/>
    <w:rsid w:val="001333A3"/>
    <w:rsid w:val="00133D2B"/>
    <w:rsid w:val="00133D89"/>
    <w:rsid w:val="00133F4C"/>
    <w:rsid w:val="001342FB"/>
    <w:rsid w:val="00134374"/>
    <w:rsid w:val="001343C8"/>
    <w:rsid w:val="00134AF9"/>
    <w:rsid w:val="00134B47"/>
    <w:rsid w:val="00134B53"/>
    <w:rsid w:val="00134C5F"/>
    <w:rsid w:val="00134D6D"/>
    <w:rsid w:val="0013562E"/>
    <w:rsid w:val="00135640"/>
    <w:rsid w:val="00135771"/>
    <w:rsid w:val="00136467"/>
    <w:rsid w:val="00136543"/>
    <w:rsid w:val="00136648"/>
    <w:rsid w:val="001375DE"/>
    <w:rsid w:val="00137694"/>
    <w:rsid w:val="00137CF5"/>
    <w:rsid w:val="00137D09"/>
    <w:rsid w:val="001400C7"/>
    <w:rsid w:val="0014046D"/>
    <w:rsid w:val="00140F01"/>
    <w:rsid w:val="00141596"/>
    <w:rsid w:val="001415D0"/>
    <w:rsid w:val="00141CCD"/>
    <w:rsid w:val="00141CFC"/>
    <w:rsid w:val="00142592"/>
    <w:rsid w:val="00142838"/>
    <w:rsid w:val="00143282"/>
    <w:rsid w:val="00143653"/>
    <w:rsid w:val="0014396B"/>
    <w:rsid w:val="0014396D"/>
    <w:rsid w:val="00143B3A"/>
    <w:rsid w:val="00144298"/>
    <w:rsid w:val="001446E6"/>
    <w:rsid w:val="00144A9F"/>
    <w:rsid w:val="00144EC9"/>
    <w:rsid w:val="0014521C"/>
    <w:rsid w:val="0014549B"/>
    <w:rsid w:val="00146AE7"/>
    <w:rsid w:val="001471ED"/>
    <w:rsid w:val="00147350"/>
    <w:rsid w:val="00147AE8"/>
    <w:rsid w:val="00147B3F"/>
    <w:rsid w:val="00150829"/>
    <w:rsid w:val="00151B71"/>
    <w:rsid w:val="001520F3"/>
    <w:rsid w:val="00152CBF"/>
    <w:rsid w:val="0015305A"/>
    <w:rsid w:val="001530CC"/>
    <w:rsid w:val="001530FC"/>
    <w:rsid w:val="00153212"/>
    <w:rsid w:val="00153237"/>
    <w:rsid w:val="00153387"/>
    <w:rsid w:val="0015340E"/>
    <w:rsid w:val="0015359C"/>
    <w:rsid w:val="00154156"/>
    <w:rsid w:val="00154845"/>
    <w:rsid w:val="00154A21"/>
    <w:rsid w:val="00154CC9"/>
    <w:rsid w:val="00155965"/>
    <w:rsid w:val="001559C0"/>
    <w:rsid w:val="001560BF"/>
    <w:rsid w:val="001560F0"/>
    <w:rsid w:val="00156D80"/>
    <w:rsid w:val="00157361"/>
    <w:rsid w:val="0015788F"/>
    <w:rsid w:val="00157A54"/>
    <w:rsid w:val="00157BDA"/>
    <w:rsid w:val="00157E23"/>
    <w:rsid w:val="00157F18"/>
    <w:rsid w:val="00157FC3"/>
    <w:rsid w:val="0016005F"/>
    <w:rsid w:val="0016028E"/>
    <w:rsid w:val="00160352"/>
    <w:rsid w:val="00160819"/>
    <w:rsid w:val="00160854"/>
    <w:rsid w:val="00160B8F"/>
    <w:rsid w:val="00160DD2"/>
    <w:rsid w:val="00160EAC"/>
    <w:rsid w:val="001610A3"/>
    <w:rsid w:val="00161B15"/>
    <w:rsid w:val="00161C84"/>
    <w:rsid w:val="0016221D"/>
    <w:rsid w:val="001623F2"/>
    <w:rsid w:val="00162651"/>
    <w:rsid w:val="001626BD"/>
    <w:rsid w:val="00163075"/>
    <w:rsid w:val="001635AE"/>
    <w:rsid w:val="001635DB"/>
    <w:rsid w:val="00163604"/>
    <w:rsid w:val="0016379F"/>
    <w:rsid w:val="00163812"/>
    <w:rsid w:val="00163865"/>
    <w:rsid w:val="0016429D"/>
    <w:rsid w:val="0016482C"/>
    <w:rsid w:val="0016483A"/>
    <w:rsid w:val="00164A38"/>
    <w:rsid w:val="00164E23"/>
    <w:rsid w:val="001650F8"/>
    <w:rsid w:val="00165222"/>
    <w:rsid w:val="00165768"/>
    <w:rsid w:val="0016595F"/>
    <w:rsid w:val="00165A06"/>
    <w:rsid w:val="00165C53"/>
    <w:rsid w:val="00166372"/>
    <w:rsid w:val="00166A2C"/>
    <w:rsid w:val="00167E9C"/>
    <w:rsid w:val="00170E88"/>
    <w:rsid w:val="00171077"/>
    <w:rsid w:val="001715B6"/>
    <w:rsid w:val="0017276E"/>
    <w:rsid w:val="00172D74"/>
    <w:rsid w:val="0017320F"/>
    <w:rsid w:val="0017350C"/>
    <w:rsid w:val="001735A6"/>
    <w:rsid w:val="001739D1"/>
    <w:rsid w:val="001746C2"/>
    <w:rsid w:val="001750A9"/>
    <w:rsid w:val="0017584B"/>
    <w:rsid w:val="00175AE4"/>
    <w:rsid w:val="00175B85"/>
    <w:rsid w:val="00175E0B"/>
    <w:rsid w:val="00175E43"/>
    <w:rsid w:val="00175EEA"/>
    <w:rsid w:val="00176286"/>
    <w:rsid w:val="00176657"/>
    <w:rsid w:val="00176BC7"/>
    <w:rsid w:val="00176EED"/>
    <w:rsid w:val="00176F9F"/>
    <w:rsid w:val="00177167"/>
    <w:rsid w:val="001775A3"/>
    <w:rsid w:val="00180511"/>
    <w:rsid w:val="00180E64"/>
    <w:rsid w:val="00180F96"/>
    <w:rsid w:val="00181682"/>
    <w:rsid w:val="00181F4B"/>
    <w:rsid w:val="0018205E"/>
    <w:rsid w:val="00182A09"/>
    <w:rsid w:val="00183354"/>
    <w:rsid w:val="001834DC"/>
    <w:rsid w:val="00183959"/>
    <w:rsid w:val="00183B58"/>
    <w:rsid w:val="00183C79"/>
    <w:rsid w:val="00183C8B"/>
    <w:rsid w:val="00183E75"/>
    <w:rsid w:val="00183F5D"/>
    <w:rsid w:val="0018405F"/>
    <w:rsid w:val="00184465"/>
    <w:rsid w:val="001845CF"/>
    <w:rsid w:val="00184BF0"/>
    <w:rsid w:val="00184D10"/>
    <w:rsid w:val="001857BB"/>
    <w:rsid w:val="001865BB"/>
    <w:rsid w:val="001868B4"/>
    <w:rsid w:val="00186919"/>
    <w:rsid w:val="00187339"/>
    <w:rsid w:val="00187438"/>
    <w:rsid w:val="00187518"/>
    <w:rsid w:val="00187941"/>
    <w:rsid w:val="00187A32"/>
    <w:rsid w:val="001902DD"/>
    <w:rsid w:val="00190FB6"/>
    <w:rsid w:val="001912E3"/>
    <w:rsid w:val="001913D0"/>
    <w:rsid w:val="00191C85"/>
    <w:rsid w:val="00192A33"/>
    <w:rsid w:val="00193368"/>
    <w:rsid w:val="001933A1"/>
    <w:rsid w:val="00193911"/>
    <w:rsid w:val="001939F6"/>
    <w:rsid w:val="00194161"/>
    <w:rsid w:val="00194444"/>
    <w:rsid w:val="00194852"/>
    <w:rsid w:val="00194FD4"/>
    <w:rsid w:val="001952F2"/>
    <w:rsid w:val="0019560F"/>
    <w:rsid w:val="00195AC6"/>
    <w:rsid w:val="00195B0A"/>
    <w:rsid w:val="00195C22"/>
    <w:rsid w:val="00195D58"/>
    <w:rsid w:val="00195DE8"/>
    <w:rsid w:val="00195DED"/>
    <w:rsid w:val="00196B4E"/>
    <w:rsid w:val="0019785B"/>
    <w:rsid w:val="00197BE9"/>
    <w:rsid w:val="00197F24"/>
    <w:rsid w:val="00197F3E"/>
    <w:rsid w:val="001A01E7"/>
    <w:rsid w:val="001A0210"/>
    <w:rsid w:val="001A027A"/>
    <w:rsid w:val="001A0922"/>
    <w:rsid w:val="001A0926"/>
    <w:rsid w:val="001A0C05"/>
    <w:rsid w:val="001A0D2C"/>
    <w:rsid w:val="001A0E40"/>
    <w:rsid w:val="001A1039"/>
    <w:rsid w:val="001A30FB"/>
    <w:rsid w:val="001A33C2"/>
    <w:rsid w:val="001A3425"/>
    <w:rsid w:val="001A35A9"/>
    <w:rsid w:val="001A398D"/>
    <w:rsid w:val="001A3F62"/>
    <w:rsid w:val="001A405E"/>
    <w:rsid w:val="001A41EA"/>
    <w:rsid w:val="001A422B"/>
    <w:rsid w:val="001A440A"/>
    <w:rsid w:val="001A4441"/>
    <w:rsid w:val="001A4797"/>
    <w:rsid w:val="001A4A55"/>
    <w:rsid w:val="001A4F44"/>
    <w:rsid w:val="001A54DC"/>
    <w:rsid w:val="001A639F"/>
    <w:rsid w:val="001A6401"/>
    <w:rsid w:val="001A6863"/>
    <w:rsid w:val="001A6A4F"/>
    <w:rsid w:val="001A6DDD"/>
    <w:rsid w:val="001A7298"/>
    <w:rsid w:val="001A76B7"/>
    <w:rsid w:val="001A7B3F"/>
    <w:rsid w:val="001B0379"/>
    <w:rsid w:val="001B05F7"/>
    <w:rsid w:val="001B0973"/>
    <w:rsid w:val="001B0C8A"/>
    <w:rsid w:val="001B0DE7"/>
    <w:rsid w:val="001B1339"/>
    <w:rsid w:val="001B13B3"/>
    <w:rsid w:val="001B17D4"/>
    <w:rsid w:val="001B197E"/>
    <w:rsid w:val="001B1FC5"/>
    <w:rsid w:val="001B2485"/>
    <w:rsid w:val="001B2613"/>
    <w:rsid w:val="001B2B50"/>
    <w:rsid w:val="001B2B6A"/>
    <w:rsid w:val="001B32B8"/>
    <w:rsid w:val="001B3CF4"/>
    <w:rsid w:val="001B3D28"/>
    <w:rsid w:val="001B41B1"/>
    <w:rsid w:val="001B4A03"/>
    <w:rsid w:val="001B4AD1"/>
    <w:rsid w:val="001B4DC8"/>
    <w:rsid w:val="001B5B57"/>
    <w:rsid w:val="001B68B0"/>
    <w:rsid w:val="001B6B20"/>
    <w:rsid w:val="001B783E"/>
    <w:rsid w:val="001B7BEC"/>
    <w:rsid w:val="001B7E2B"/>
    <w:rsid w:val="001C02C5"/>
    <w:rsid w:val="001C04B2"/>
    <w:rsid w:val="001C0D59"/>
    <w:rsid w:val="001C0DED"/>
    <w:rsid w:val="001C0E2D"/>
    <w:rsid w:val="001C0EBA"/>
    <w:rsid w:val="001C11EB"/>
    <w:rsid w:val="001C17E0"/>
    <w:rsid w:val="001C17FA"/>
    <w:rsid w:val="001C1ACC"/>
    <w:rsid w:val="001C1FDE"/>
    <w:rsid w:val="001C2140"/>
    <w:rsid w:val="001C2369"/>
    <w:rsid w:val="001C2493"/>
    <w:rsid w:val="001C2A9D"/>
    <w:rsid w:val="001C2C77"/>
    <w:rsid w:val="001C3021"/>
    <w:rsid w:val="001C3737"/>
    <w:rsid w:val="001C3A06"/>
    <w:rsid w:val="001C3CC2"/>
    <w:rsid w:val="001C3ECC"/>
    <w:rsid w:val="001C3F78"/>
    <w:rsid w:val="001C44BE"/>
    <w:rsid w:val="001C4592"/>
    <w:rsid w:val="001C49A3"/>
    <w:rsid w:val="001C4BD7"/>
    <w:rsid w:val="001C4D4E"/>
    <w:rsid w:val="001C5137"/>
    <w:rsid w:val="001C578F"/>
    <w:rsid w:val="001C5839"/>
    <w:rsid w:val="001C61B1"/>
    <w:rsid w:val="001C6AF5"/>
    <w:rsid w:val="001C6FFB"/>
    <w:rsid w:val="001C725D"/>
    <w:rsid w:val="001C77E1"/>
    <w:rsid w:val="001C7ADA"/>
    <w:rsid w:val="001D06AA"/>
    <w:rsid w:val="001D0ED5"/>
    <w:rsid w:val="001D12B2"/>
    <w:rsid w:val="001D16FF"/>
    <w:rsid w:val="001D1872"/>
    <w:rsid w:val="001D1C05"/>
    <w:rsid w:val="001D1C72"/>
    <w:rsid w:val="001D24A1"/>
    <w:rsid w:val="001D28A3"/>
    <w:rsid w:val="001D2C4D"/>
    <w:rsid w:val="001D2D75"/>
    <w:rsid w:val="001D2D9C"/>
    <w:rsid w:val="001D2F0C"/>
    <w:rsid w:val="001D33D9"/>
    <w:rsid w:val="001D3543"/>
    <w:rsid w:val="001D3CC7"/>
    <w:rsid w:val="001D46EF"/>
    <w:rsid w:val="001D4933"/>
    <w:rsid w:val="001D4AF5"/>
    <w:rsid w:val="001D58E1"/>
    <w:rsid w:val="001D58E5"/>
    <w:rsid w:val="001D5FAE"/>
    <w:rsid w:val="001D6191"/>
    <w:rsid w:val="001D650B"/>
    <w:rsid w:val="001D65A3"/>
    <w:rsid w:val="001D6CA4"/>
    <w:rsid w:val="001D7185"/>
    <w:rsid w:val="001D73A7"/>
    <w:rsid w:val="001D76AD"/>
    <w:rsid w:val="001D7A5C"/>
    <w:rsid w:val="001E086E"/>
    <w:rsid w:val="001E08AE"/>
    <w:rsid w:val="001E0B26"/>
    <w:rsid w:val="001E226F"/>
    <w:rsid w:val="001E24A9"/>
    <w:rsid w:val="001E2502"/>
    <w:rsid w:val="001E292F"/>
    <w:rsid w:val="001E2B56"/>
    <w:rsid w:val="001E3202"/>
    <w:rsid w:val="001E3448"/>
    <w:rsid w:val="001E3AB7"/>
    <w:rsid w:val="001E474D"/>
    <w:rsid w:val="001E47E9"/>
    <w:rsid w:val="001E4CBA"/>
    <w:rsid w:val="001E4F0E"/>
    <w:rsid w:val="001E5210"/>
    <w:rsid w:val="001E53B7"/>
    <w:rsid w:val="001E5580"/>
    <w:rsid w:val="001E582A"/>
    <w:rsid w:val="001E5A81"/>
    <w:rsid w:val="001E5AFC"/>
    <w:rsid w:val="001E6263"/>
    <w:rsid w:val="001E6964"/>
    <w:rsid w:val="001E72B2"/>
    <w:rsid w:val="001E72E6"/>
    <w:rsid w:val="001F0169"/>
    <w:rsid w:val="001F01B8"/>
    <w:rsid w:val="001F0349"/>
    <w:rsid w:val="001F0458"/>
    <w:rsid w:val="001F09FD"/>
    <w:rsid w:val="001F0A27"/>
    <w:rsid w:val="001F0B74"/>
    <w:rsid w:val="001F15EE"/>
    <w:rsid w:val="001F1A0D"/>
    <w:rsid w:val="001F1DE6"/>
    <w:rsid w:val="001F1E59"/>
    <w:rsid w:val="001F2254"/>
    <w:rsid w:val="001F2B19"/>
    <w:rsid w:val="001F2EB0"/>
    <w:rsid w:val="001F3219"/>
    <w:rsid w:val="001F3699"/>
    <w:rsid w:val="001F40A5"/>
    <w:rsid w:val="001F41F6"/>
    <w:rsid w:val="001F4EB8"/>
    <w:rsid w:val="001F59B4"/>
    <w:rsid w:val="001F59DC"/>
    <w:rsid w:val="001F6D9D"/>
    <w:rsid w:val="001F6E89"/>
    <w:rsid w:val="001F6F6A"/>
    <w:rsid w:val="001F7595"/>
    <w:rsid w:val="002001D6"/>
    <w:rsid w:val="0020064E"/>
    <w:rsid w:val="00200B34"/>
    <w:rsid w:val="00200B4C"/>
    <w:rsid w:val="00201290"/>
    <w:rsid w:val="00201810"/>
    <w:rsid w:val="002019F2"/>
    <w:rsid w:val="00201C2A"/>
    <w:rsid w:val="00201CDA"/>
    <w:rsid w:val="0020207C"/>
    <w:rsid w:val="002021A8"/>
    <w:rsid w:val="00202326"/>
    <w:rsid w:val="002027C7"/>
    <w:rsid w:val="002028AA"/>
    <w:rsid w:val="00202E03"/>
    <w:rsid w:val="00203267"/>
    <w:rsid w:val="0020391D"/>
    <w:rsid w:val="002040A2"/>
    <w:rsid w:val="00204482"/>
    <w:rsid w:val="002044BC"/>
    <w:rsid w:val="00204EFE"/>
    <w:rsid w:val="00204FAB"/>
    <w:rsid w:val="00205010"/>
    <w:rsid w:val="00205657"/>
    <w:rsid w:val="00205AD9"/>
    <w:rsid w:val="00205F9C"/>
    <w:rsid w:val="002061AC"/>
    <w:rsid w:val="00206F27"/>
    <w:rsid w:val="00206F2F"/>
    <w:rsid w:val="002070FD"/>
    <w:rsid w:val="00207369"/>
    <w:rsid w:val="00207466"/>
    <w:rsid w:val="00207BDB"/>
    <w:rsid w:val="00207C8F"/>
    <w:rsid w:val="00210771"/>
    <w:rsid w:val="00210BDA"/>
    <w:rsid w:val="00210EF8"/>
    <w:rsid w:val="00211885"/>
    <w:rsid w:val="00211AB7"/>
    <w:rsid w:val="00211C59"/>
    <w:rsid w:val="00212B38"/>
    <w:rsid w:val="0021428F"/>
    <w:rsid w:val="00214715"/>
    <w:rsid w:val="00214CBB"/>
    <w:rsid w:val="002154D6"/>
    <w:rsid w:val="00215693"/>
    <w:rsid w:val="00215699"/>
    <w:rsid w:val="002159DE"/>
    <w:rsid w:val="00215C67"/>
    <w:rsid w:val="00215CE6"/>
    <w:rsid w:val="00215E99"/>
    <w:rsid w:val="00215F8F"/>
    <w:rsid w:val="0021637C"/>
    <w:rsid w:val="002166A6"/>
    <w:rsid w:val="002166D5"/>
    <w:rsid w:val="00216A61"/>
    <w:rsid w:val="00216BB6"/>
    <w:rsid w:val="00216C30"/>
    <w:rsid w:val="00217B45"/>
    <w:rsid w:val="00217F26"/>
    <w:rsid w:val="0022048B"/>
    <w:rsid w:val="00220692"/>
    <w:rsid w:val="00222078"/>
    <w:rsid w:val="002220D9"/>
    <w:rsid w:val="00222103"/>
    <w:rsid w:val="00222261"/>
    <w:rsid w:val="002223F5"/>
    <w:rsid w:val="00222616"/>
    <w:rsid w:val="00222D3C"/>
    <w:rsid w:val="002237D3"/>
    <w:rsid w:val="00223960"/>
    <w:rsid w:val="00223B07"/>
    <w:rsid w:val="0022435D"/>
    <w:rsid w:val="0022436A"/>
    <w:rsid w:val="00224E52"/>
    <w:rsid w:val="00225736"/>
    <w:rsid w:val="00225884"/>
    <w:rsid w:val="0022590D"/>
    <w:rsid w:val="00225E64"/>
    <w:rsid w:val="002267CE"/>
    <w:rsid w:val="00227018"/>
    <w:rsid w:val="002272AB"/>
    <w:rsid w:val="00227605"/>
    <w:rsid w:val="00227663"/>
    <w:rsid w:val="00227D47"/>
    <w:rsid w:val="00227D49"/>
    <w:rsid w:val="00227FC7"/>
    <w:rsid w:val="002304F9"/>
    <w:rsid w:val="00230C43"/>
    <w:rsid w:val="002314FD"/>
    <w:rsid w:val="00231740"/>
    <w:rsid w:val="002319E6"/>
    <w:rsid w:val="002325A8"/>
    <w:rsid w:val="00232DA1"/>
    <w:rsid w:val="00232EED"/>
    <w:rsid w:val="002341F6"/>
    <w:rsid w:val="0023440D"/>
    <w:rsid w:val="0023451E"/>
    <w:rsid w:val="00234753"/>
    <w:rsid w:val="002347B1"/>
    <w:rsid w:val="00234DDE"/>
    <w:rsid w:val="00235059"/>
    <w:rsid w:val="0023552A"/>
    <w:rsid w:val="00235A21"/>
    <w:rsid w:val="00235B72"/>
    <w:rsid w:val="00235BBF"/>
    <w:rsid w:val="00235C11"/>
    <w:rsid w:val="00235D25"/>
    <w:rsid w:val="00235DF4"/>
    <w:rsid w:val="00235E13"/>
    <w:rsid w:val="00236E72"/>
    <w:rsid w:val="00236F13"/>
    <w:rsid w:val="0023706D"/>
    <w:rsid w:val="00237095"/>
    <w:rsid w:val="002372F4"/>
    <w:rsid w:val="002376FB"/>
    <w:rsid w:val="002377D2"/>
    <w:rsid w:val="00237B47"/>
    <w:rsid w:val="00237FEC"/>
    <w:rsid w:val="0024029A"/>
    <w:rsid w:val="002407C8"/>
    <w:rsid w:val="00240E2B"/>
    <w:rsid w:val="00240F69"/>
    <w:rsid w:val="00241699"/>
    <w:rsid w:val="002417F8"/>
    <w:rsid w:val="00241FC8"/>
    <w:rsid w:val="00242328"/>
    <w:rsid w:val="0024283F"/>
    <w:rsid w:val="0024324A"/>
    <w:rsid w:val="0024393F"/>
    <w:rsid w:val="00243D7D"/>
    <w:rsid w:val="002440FD"/>
    <w:rsid w:val="002446A3"/>
    <w:rsid w:val="0024472B"/>
    <w:rsid w:val="002449D0"/>
    <w:rsid w:val="00244E56"/>
    <w:rsid w:val="002452E7"/>
    <w:rsid w:val="002454BE"/>
    <w:rsid w:val="00245C4C"/>
    <w:rsid w:val="00246221"/>
    <w:rsid w:val="002463E0"/>
    <w:rsid w:val="00246447"/>
    <w:rsid w:val="00246A8C"/>
    <w:rsid w:val="00246CCD"/>
    <w:rsid w:val="00246D03"/>
    <w:rsid w:val="00246F8B"/>
    <w:rsid w:val="00247705"/>
    <w:rsid w:val="0024786E"/>
    <w:rsid w:val="002478E5"/>
    <w:rsid w:val="00247EE0"/>
    <w:rsid w:val="0025073C"/>
    <w:rsid w:val="00250F42"/>
    <w:rsid w:val="00250FAD"/>
    <w:rsid w:val="00250FD2"/>
    <w:rsid w:val="002518B6"/>
    <w:rsid w:val="00251A8F"/>
    <w:rsid w:val="00252488"/>
    <w:rsid w:val="002525D4"/>
    <w:rsid w:val="00253EA0"/>
    <w:rsid w:val="00254B44"/>
    <w:rsid w:val="00254E99"/>
    <w:rsid w:val="0025597B"/>
    <w:rsid w:val="00255BAF"/>
    <w:rsid w:val="00255C41"/>
    <w:rsid w:val="00256277"/>
    <w:rsid w:val="00257212"/>
    <w:rsid w:val="0025753B"/>
    <w:rsid w:val="00257907"/>
    <w:rsid w:val="00257AAE"/>
    <w:rsid w:val="0026010B"/>
    <w:rsid w:val="0026027A"/>
    <w:rsid w:val="00260423"/>
    <w:rsid w:val="00260533"/>
    <w:rsid w:val="00260ED8"/>
    <w:rsid w:val="002615F8"/>
    <w:rsid w:val="002616C8"/>
    <w:rsid w:val="002618AB"/>
    <w:rsid w:val="00261A54"/>
    <w:rsid w:val="00261D37"/>
    <w:rsid w:val="00261E00"/>
    <w:rsid w:val="002622D8"/>
    <w:rsid w:val="00262341"/>
    <w:rsid w:val="00262EB0"/>
    <w:rsid w:val="00262FD2"/>
    <w:rsid w:val="00263081"/>
    <w:rsid w:val="002632C8"/>
    <w:rsid w:val="00263607"/>
    <w:rsid w:val="00263874"/>
    <w:rsid w:val="00263D34"/>
    <w:rsid w:val="00263EF1"/>
    <w:rsid w:val="0026411A"/>
    <w:rsid w:val="002649C2"/>
    <w:rsid w:val="00264FC8"/>
    <w:rsid w:val="002654BF"/>
    <w:rsid w:val="002654E8"/>
    <w:rsid w:val="002656E1"/>
    <w:rsid w:val="00265CFF"/>
    <w:rsid w:val="002661CB"/>
    <w:rsid w:val="002662F8"/>
    <w:rsid w:val="002674E3"/>
    <w:rsid w:val="00267755"/>
    <w:rsid w:val="00267B24"/>
    <w:rsid w:val="002700B1"/>
    <w:rsid w:val="002705FE"/>
    <w:rsid w:val="00270649"/>
    <w:rsid w:val="002706F0"/>
    <w:rsid w:val="00270F75"/>
    <w:rsid w:val="00271224"/>
    <w:rsid w:val="002713DB"/>
    <w:rsid w:val="002715AC"/>
    <w:rsid w:val="00271B95"/>
    <w:rsid w:val="00271DA3"/>
    <w:rsid w:val="002720B4"/>
    <w:rsid w:val="00272219"/>
    <w:rsid w:val="0027238C"/>
    <w:rsid w:val="00272D7E"/>
    <w:rsid w:val="00273278"/>
    <w:rsid w:val="00273AFD"/>
    <w:rsid w:val="002741A0"/>
    <w:rsid w:val="00274502"/>
    <w:rsid w:val="002746D8"/>
    <w:rsid w:val="00275343"/>
    <w:rsid w:val="00275641"/>
    <w:rsid w:val="00275705"/>
    <w:rsid w:val="00275EDC"/>
    <w:rsid w:val="002762E6"/>
    <w:rsid w:val="00276AE0"/>
    <w:rsid w:val="00276D6A"/>
    <w:rsid w:val="002774A6"/>
    <w:rsid w:val="00277E64"/>
    <w:rsid w:val="0028002C"/>
    <w:rsid w:val="00280AB5"/>
    <w:rsid w:val="00280B32"/>
    <w:rsid w:val="00280BB5"/>
    <w:rsid w:val="002811A8"/>
    <w:rsid w:val="00281BD0"/>
    <w:rsid w:val="00281F1A"/>
    <w:rsid w:val="0028218E"/>
    <w:rsid w:val="002821E9"/>
    <w:rsid w:val="002822EF"/>
    <w:rsid w:val="00282360"/>
    <w:rsid w:val="00282B10"/>
    <w:rsid w:val="002832CE"/>
    <w:rsid w:val="00283329"/>
    <w:rsid w:val="00283707"/>
    <w:rsid w:val="00283A8F"/>
    <w:rsid w:val="00283CAD"/>
    <w:rsid w:val="002854FB"/>
    <w:rsid w:val="00285523"/>
    <w:rsid w:val="0028562A"/>
    <w:rsid w:val="002857C6"/>
    <w:rsid w:val="002857F9"/>
    <w:rsid w:val="00285BFB"/>
    <w:rsid w:val="0028643C"/>
    <w:rsid w:val="002868A6"/>
    <w:rsid w:val="002868BE"/>
    <w:rsid w:val="00286BA1"/>
    <w:rsid w:val="00286D26"/>
    <w:rsid w:val="0028710F"/>
    <w:rsid w:val="00287133"/>
    <w:rsid w:val="00287282"/>
    <w:rsid w:val="002872C3"/>
    <w:rsid w:val="002900C8"/>
    <w:rsid w:val="002900EE"/>
    <w:rsid w:val="00290352"/>
    <w:rsid w:val="002903E2"/>
    <w:rsid w:val="0029077C"/>
    <w:rsid w:val="002908A7"/>
    <w:rsid w:val="00290FB5"/>
    <w:rsid w:val="002913FD"/>
    <w:rsid w:val="00291D71"/>
    <w:rsid w:val="00292115"/>
    <w:rsid w:val="002927D0"/>
    <w:rsid w:val="00292944"/>
    <w:rsid w:val="00292F66"/>
    <w:rsid w:val="0029315D"/>
    <w:rsid w:val="002936E5"/>
    <w:rsid w:val="00293D6E"/>
    <w:rsid w:val="00293E79"/>
    <w:rsid w:val="0029421A"/>
    <w:rsid w:val="0029449E"/>
    <w:rsid w:val="00294C71"/>
    <w:rsid w:val="00294C8B"/>
    <w:rsid w:val="00294E8F"/>
    <w:rsid w:val="0029504D"/>
    <w:rsid w:val="0029570C"/>
    <w:rsid w:val="002959B8"/>
    <w:rsid w:val="00295AC9"/>
    <w:rsid w:val="0029618D"/>
    <w:rsid w:val="0029621D"/>
    <w:rsid w:val="002965E0"/>
    <w:rsid w:val="00296F46"/>
    <w:rsid w:val="00296F8A"/>
    <w:rsid w:val="00297184"/>
    <w:rsid w:val="002A05C9"/>
    <w:rsid w:val="002A1143"/>
    <w:rsid w:val="002A12BA"/>
    <w:rsid w:val="002A1465"/>
    <w:rsid w:val="002A180F"/>
    <w:rsid w:val="002A1873"/>
    <w:rsid w:val="002A1954"/>
    <w:rsid w:val="002A1AE1"/>
    <w:rsid w:val="002A2060"/>
    <w:rsid w:val="002A276F"/>
    <w:rsid w:val="002A2857"/>
    <w:rsid w:val="002A2D7B"/>
    <w:rsid w:val="002A353A"/>
    <w:rsid w:val="002A367A"/>
    <w:rsid w:val="002A391D"/>
    <w:rsid w:val="002A3B40"/>
    <w:rsid w:val="002A40BC"/>
    <w:rsid w:val="002A4404"/>
    <w:rsid w:val="002A51E9"/>
    <w:rsid w:val="002A52E3"/>
    <w:rsid w:val="002A5353"/>
    <w:rsid w:val="002A5425"/>
    <w:rsid w:val="002A547D"/>
    <w:rsid w:val="002A556E"/>
    <w:rsid w:val="002A5B44"/>
    <w:rsid w:val="002A5C27"/>
    <w:rsid w:val="002A5CA0"/>
    <w:rsid w:val="002A63AF"/>
    <w:rsid w:val="002A65B9"/>
    <w:rsid w:val="002A6953"/>
    <w:rsid w:val="002A6A32"/>
    <w:rsid w:val="002A6AD1"/>
    <w:rsid w:val="002A6FBE"/>
    <w:rsid w:val="002A755A"/>
    <w:rsid w:val="002A7869"/>
    <w:rsid w:val="002A7B81"/>
    <w:rsid w:val="002A7BB5"/>
    <w:rsid w:val="002A7F5B"/>
    <w:rsid w:val="002B0D78"/>
    <w:rsid w:val="002B0D89"/>
    <w:rsid w:val="002B0F46"/>
    <w:rsid w:val="002B12E2"/>
    <w:rsid w:val="002B1BB2"/>
    <w:rsid w:val="002B2046"/>
    <w:rsid w:val="002B2078"/>
    <w:rsid w:val="002B22D4"/>
    <w:rsid w:val="002B2334"/>
    <w:rsid w:val="002B291F"/>
    <w:rsid w:val="002B2E6C"/>
    <w:rsid w:val="002B3178"/>
    <w:rsid w:val="002B33A0"/>
    <w:rsid w:val="002B3422"/>
    <w:rsid w:val="002B37A1"/>
    <w:rsid w:val="002B3A68"/>
    <w:rsid w:val="002B3C14"/>
    <w:rsid w:val="002B3C46"/>
    <w:rsid w:val="002B3FD0"/>
    <w:rsid w:val="002B4142"/>
    <w:rsid w:val="002B43FA"/>
    <w:rsid w:val="002B4DA2"/>
    <w:rsid w:val="002B5A23"/>
    <w:rsid w:val="002B5C84"/>
    <w:rsid w:val="002B62C8"/>
    <w:rsid w:val="002B6450"/>
    <w:rsid w:val="002B65D8"/>
    <w:rsid w:val="002B6702"/>
    <w:rsid w:val="002B6B22"/>
    <w:rsid w:val="002B73B2"/>
    <w:rsid w:val="002B777D"/>
    <w:rsid w:val="002B7969"/>
    <w:rsid w:val="002C0500"/>
    <w:rsid w:val="002C06D1"/>
    <w:rsid w:val="002C0A48"/>
    <w:rsid w:val="002C0BB1"/>
    <w:rsid w:val="002C0FAF"/>
    <w:rsid w:val="002C1419"/>
    <w:rsid w:val="002C1CB2"/>
    <w:rsid w:val="002C1E38"/>
    <w:rsid w:val="002C282B"/>
    <w:rsid w:val="002C2DB8"/>
    <w:rsid w:val="002C3066"/>
    <w:rsid w:val="002C31E5"/>
    <w:rsid w:val="002C36FA"/>
    <w:rsid w:val="002C3BB3"/>
    <w:rsid w:val="002C3D9B"/>
    <w:rsid w:val="002C41DC"/>
    <w:rsid w:val="002C423C"/>
    <w:rsid w:val="002C4822"/>
    <w:rsid w:val="002C4CA9"/>
    <w:rsid w:val="002C5178"/>
    <w:rsid w:val="002C56C8"/>
    <w:rsid w:val="002C5736"/>
    <w:rsid w:val="002C59A7"/>
    <w:rsid w:val="002C5A63"/>
    <w:rsid w:val="002C5C77"/>
    <w:rsid w:val="002C5D55"/>
    <w:rsid w:val="002C5F30"/>
    <w:rsid w:val="002C612D"/>
    <w:rsid w:val="002C63F6"/>
    <w:rsid w:val="002C65FF"/>
    <w:rsid w:val="002C666D"/>
    <w:rsid w:val="002C6A32"/>
    <w:rsid w:val="002C6B9F"/>
    <w:rsid w:val="002C754B"/>
    <w:rsid w:val="002C763E"/>
    <w:rsid w:val="002C79D7"/>
    <w:rsid w:val="002C7D72"/>
    <w:rsid w:val="002D0356"/>
    <w:rsid w:val="002D06E7"/>
    <w:rsid w:val="002D07C0"/>
    <w:rsid w:val="002D0904"/>
    <w:rsid w:val="002D0905"/>
    <w:rsid w:val="002D0C19"/>
    <w:rsid w:val="002D0EF0"/>
    <w:rsid w:val="002D0FC6"/>
    <w:rsid w:val="002D1101"/>
    <w:rsid w:val="002D113F"/>
    <w:rsid w:val="002D1160"/>
    <w:rsid w:val="002D138C"/>
    <w:rsid w:val="002D14B7"/>
    <w:rsid w:val="002D18BC"/>
    <w:rsid w:val="002D19A0"/>
    <w:rsid w:val="002D1A3D"/>
    <w:rsid w:val="002D2F9B"/>
    <w:rsid w:val="002D32EB"/>
    <w:rsid w:val="002D33D8"/>
    <w:rsid w:val="002D34D0"/>
    <w:rsid w:val="002D3B3F"/>
    <w:rsid w:val="002D3D61"/>
    <w:rsid w:val="002D3EC8"/>
    <w:rsid w:val="002D403E"/>
    <w:rsid w:val="002D4325"/>
    <w:rsid w:val="002D45BF"/>
    <w:rsid w:val="002D4776"/>
    <w:rsid w:val="002D4A85"/>
    <w:rsid w:val="002D4E7E"/>
    <w:rsid w:val="002D5157"/>
    <w:rsid w:val="002D553B"/>
    <w:rsid w:val="002D5653"/>
    <w:rsid w:val="002D5900"/>
    <w:rsid w:val="002D5A34"/>
    <w:rsid w:val="002D5DBE"/>
    <w:rsid w:val="002D64DF"/>
    <w:rsid w:val="002D6857"/>
    <w:rsid w:val="002D6EBB"/>
    <w:rsid w:val="002D6FCE"/>
    <w:rsid w:val="002D71F8"/>
    <w:rsid w:val="002D7C91"/>
    <w:rsid w:val="002E000C"/>
    <w:rsid w:val="002E02AA"/>
    <w:rsid w:val="002E0BB3"/>
    <w:rsid w:val="002E0C9F"/>
    <w:rsid w:val="002E0F44"/>
    <w:rsid w:val="002E13E0"/>
    <w:rsid w:val="002E1937"/>
    <w:rsid w:val="002E1950"/>
    <w:rsid w:val="002E1A4F"/>
    <w:rsid w:val="002E23A9"/>
    <w:rsid w:val="002E2864"/>
    <w:rsid w:val="002E2900"/>
    <w:rsid w:val="002E29F9"/>
    <w:rsid w:val="002E2D4A"/>
    <w:rsid w:val="002E38DB"/>
    <w:rsid w:val="002E39E2"/>
    <w:rsid w:val="002E3BFB"/>
    <w:rsid w:val="002E43C7"/>
    <w:rsid w:val="002E467B"/>
    <w:rsid w:val="002E4708"/>
    <w:rsid w:val="002E4F35"/>
    <w:rsid w:val="002E5223"/>
    <w:rsid w:val="002E5256"/>
    <w:rsid w:val="002E5271"/>
    <w:rsid w:val="002E538F"/>
    <w:rsid w:val="002E539A"/>
    <w:rsid w:val="002E558D"/>
    <w:rsid w:val="002E55DD"/>
    <w:rsid w:val="002E5995"/>
    <w:rsid w:val="002E5AB7"/>
    <w:rsid w:val="002E5E77"/>
    <w:rsid w:val="002E5F31"/>
    <w:rsid w:val="002E73D9"/>
    <w:rsid w:val="002E7B71"/>
    <w:rsid w:val="002E7EA2"/>
    <w:rsid w:val="002F059B"/>
    <w:rsid w:val="002F071C"/>
    <w:rsid w:val="002F07C3"/>
    <w:rsid w:val="002F0C32"/>
    <w:rsid w:val="002F0DB1"/>
    <w:rsid w:val="002F0F75"/>
    <w:rsid w:val="002F0FA6"/>
    <w:rsid w:val="002F108D"/>
    <w:rsid w:val="002F117A"/>
    <w:rsid w:val="002F127D"/>
    <w:rsid w:val="002F12EB"/>
    <w:rsid w:val="002F14F5"/>
    <w:rsid w:val="002F169C"/>
    <w:rsid w:val="002F20C7"/>
    <w:rsid w:val="002F2B7A"/>
    <w:rsid w:val="002F3105"/>
    <w:rsid w:val="002F33CD"/>
    <w:rsid w:val="002F37D0"/>
    <w:rsid w:val="002F3D59"/>
    <w:rsid w:val="002F414F"/>
    <w:rsid w:val="002F4604"/>
    <w:rsid w:val="002F4675"/>
    <w:rsid w:val="002F4859"/>
    <w:rsid w:val="002F485F"/>
    <w:rsid w:val="002F493D"/>
    <w:rsid w:val="002F49C5"/>
    <w:rsid w:val="002F4D9F"/>
    <w:rsid w:val="002F54F6"/>
    <w:rsid w:val="002F554B"/>
    <w:rsid w:val="002F572A"/>
    <w:rsid w:val="002F5836"/>
    <w:rsid w:val="002F5892"/>
    <w:rsid w:val="002F5EB8"/>
    <w:rsid w:val="002F6071"/>
    <w:rsid w:val="002F654B"/>
    <w:rsid w:val="002F6F94"/>
    <w:rsid w:val="002F72FF"/>
    <w:rsid w:val="002F7327"/>
    <w:rsid w:val="002F79CC"/>
    <w:rsid w:val="002F7AE0"/>
    <w:rsid w:val="002F7BE7"/>
    <w:rsid w:val="002F7C59"/>
    <w:rsid w:val="002F7F8F"/>
    <w:rsid w:val="00300149"/>
    <w:rsid w:val="00300212"/>
    <w:rsid w:val="00300264"/>
    <w:rsid w:val="003013D7"/>
    <w:rsid w:val="003014B1"/>
    <w:rsid w:val="003019D9"/>
    <w:rsid w:val="0030242B"/>
    <w:rsid w:val="00302595"/>
    <w:rsid w:val="00303041"/>
    <w:rsid w:val="003030F5"/>
    <w:rsid w:val="0030363A"/>
    <w:rsid w:val="003036F3"/>
    <w:rsid w:val="00303F4C"/>
    <w:rsid w:val="00304222"/>
    <w:rsid w:val="0030463E"/>
    <w:rsid w:val="00304852"/>
    <w:rsid w:val="00304AB6"/>
    <w:rsid w:val="00304ED6"/>
    <w:rsid w:val="00305096"/>
    <w:rsid w:val="00305987"/>
    <w:rsid w:val="00305999"/>
    <w:rsid w:val="00306080"/>
    <w:rsid w:val="003062A7"/>
    <w:rsid w:val="003062F3"/>
    <w:rsid w:val="003064BF"/>
    <w:rsid w:val="00306521"/>
    <w:rsid w:val="0030672E"/>
    <w:rsid w:val="00307223"/>
    <w:rsid w:val="00307B47"/>
    <w:rsid w:val="0031034B"/>
    <w:rsid w:val="003107C6"/>
    <w:rsid w:val="00310825"/>
    <w:rsid w:val="00311993"/>
    <w:rsid w:val="00312079"/>
    <w:rsid w:val="00312350"/>
    <w:rsid w:val="00312368"/>
    <w:rsid w:val="0031239E"/>
    <w:rsid w:val="003123BD"/>
    <w:rsid w:val="00312AB8"/>
    <w:rsid w:val="00313197"/>
    <w:rsid w:val="003133A3"/>
    <w:rsid w:val="0031398C"/>
    <w:rsid w:val="00313C88"/>
    <w:rsid w:val="00313CE4"/>
    <w:rsid w:val="00313D9B"/>
    <w:rsid w:val="00313E76"/>
    <w:rsid w:val="00313F79"/>
    <w:rsid w:val="003141E2"/>
    <w:rsid w:val="00314410"/>
    <w:rsid w:val="00314547"/>
    <w:rsid w:val="00314D28"/>
    <w:rsid w:val="00315212"/>
    <w:rsid w:val="00315A06"/>
    <w:rsid w:val="00315CD2"/>
    <w:rsid w:val="00315F74"/>
    <w:rsid w:val="0031656F"/>
    <w:rsid w:val="00316600"/>
    <w:rsid w:val="003166C1"/>
    <w:rsid w:val="003167AA"/>
    <w:rsid w:val="00316A8B"/>
    <w:rsid w:val="00316BF6"/>
    <w:rsid w:val="0031733B"/>
    <w:rsid w:val="00317E87"/>
    <w:rsid w:val="0032081F"/>
    <w:rsid w:val="00320912"/>
    <w:rsid w:val="00320E6F"/>
    <w:rsid w:val="003215F4"/>
    <w:rsid w:val="00322050"/>
    <w:rsid w:val="00322121"/>
    <w:rsid w:val="003222C2"/>
    <w:rsid w:val="003225FB"/>
    <w:rsid w:val="00322853"/>
    <w:rsid w:val="00323503"/>
    <w:rsid w:val="003235CB"/>
    <w:rsid w:val="00323759"/>
    <w:rsid w:val="00323A7C"/>
    <w:rsid w:val="00323C32"/>
    <w:rsid w:val="00323FC7"/>
    <w:rsid w:val="00324071"/>
    <w:rsid w:val="003244EE"/>
    <w:rsid w:val="00324A1D"/>
    <w:rsid w:val="003251C9"/>
    <w:rsid w:val="00325742"/>
    <w:rsid w:val="00325B63"/>
    <w:rsid w:val="003260BB"/>
    <w:rsid w:val="00326196"/>
    <w:rsid w:val="00326240"/>
    <w:rsid w:val="003278A1"/>
    <w:rsid w:val="003278CD"/>
    <w:rsid w:val="00327909"/>
    <w:rsid w:val="00327AB3"/>
    <w:rsid w:val="00330D77"/>
    <w:rsid w:val="00331120"/>
    <w:rsid w:val="00331DE1"/>
    <w:rsid w:val="00331E0F"/>
    <w:rsid w:val="00331E9D"/>
    <w:rsid w:val="003327DF"/>
    <w:rsid w:val="00332A40"/>
    <w:rsid w:val="00332B26"/>
    <w:rsid w:val="00332E10"/>
    <w:rsid w:val="00332FCC"/>
    <w:rsid w:val="003333AF"/>
    <w:rsid w:val="0033371C"/>
    <w:rsid w:val="00333875"/>
    <w:rsid w:val="00334235"/>
    <w:rsid w:val="00335340"/>
    <w:rsid w:val="0033592F"/>
    <w:rsid w:val="003369FF"/>
    <w:rsid w:val="00336AEA"/>
    <w:rsid w:val="00336B35"/>
    <w:rsid w:val="00336BEB"/>
    <w:rsid w:val="003373AC"/>
    <w:rsid w:val="0033758C"/>
    <w:rsid w:val="0033764B"/>
    <w:rsid w:val="00337A00"/>
    <w:rsid w:val="00337FC6"/>
    <w:rsid w:val="00340131"/>
    <w:rsid w:val="0034044E"/>
    <w:rsid w:val="0034053B"/>
    <w:rsid w:val="00340632"/>
    <w:rsid w:val="00340778"/>
    <w:rsid w:val="00340866"/>
    <w:rsid w:val="00340B2C"/>
    <w:rsid w:val="00340B44"/>
    <w:rsid w:val="00340BB5"/>
    <w:rsid w:val="0034134C"/>
    <w:rsid w:val="003414CC"/>
    <w:rsid w:val="0034170C"/>
    <w:rsid w:val="00341A2A"/>
    <w:rsid w:val="00341CED"/>
    <w:rsid w:val="00341D38"/>
    <w:rsid w:val="0034208C"/>
    <w:rsid w:val="00342759"/>
    <w:rsid w:val="00342DC1"/>
    <w:rsid w:val="00342F9B"/>
    <w:rsid w:val="003437AA"/>
    <w:rsid w:val="00343BDF"/>
    <w:rsid w:val="00343F41"/>
    <w:rsid w:val="0034459F"/>
    <w:rsid w:val="00344FD2"/>
    <w:rsid w:val="00345107"/>
    <w:rsid w:val="00345167"/>
    <w:rsid w:val="00345300"/>
    <w:rsid w:val="00345424"/>
    <w:rsid w:val="003459F3"/>
    <w:rsid w:val="00345EA7"/>
    <w:rsid w:val="0034625F"/>
    <w:rsid w:val="0034652C"/>
    <w:rsid w:val="00347635"/>
    <w:rsid w:val="0034765D"/>
    <w:rsid w:val="003478BD"/>
    <w:rsid w:val="0034791B"/>
    <w:rsid w:val="00347CBB"/>
    <w:rsid w:val="00347D0E"/>
    <w:rsid w:val="00347D22"/>
    <w:rsid w:val="00347F10"/>
    <w:rsid w:val="003500E4"/>
    <w:rsid w:val="0035067B"/>
    <w:rsid w:val="00350764"/>
    <w:rsid w:val="00350D8B"/>
    <w:rsid w:val="00350E0D"/>
    <w:rsid w:val="00351B01"/>
    <w:rsid w:val="00351FB4"/>
    <w:rsid w:val="003528EA"/>
    <w:rsid w:val="00352B65"/>
    <w:rsid w:val="00352C63"/>
    <w:rsid w:val="00352D54"/>
    <w:rsid w:val="003530E5"/>
    <w:rsid w:val="00353878"/>
    <w:rsid w:val="00353A00"/>
    <w:rsid w:val="00353ECD"/>
    <w:rsid w:val="0035470F"/>
    <w:rsid w:val="00354A1F"/>
    <w:rsid w:val="00355567"/>
    <w:rsid w:val="00355822"/>
    <w:rsid w:val="00355B11"/>
    <w:rsid w:val="00355B28"/>
    <w:rsid w:val="00356117"/>
    <w:rsid w:val="00357248"/>
    <w:rsid w:val="00357943"/>
    <w:rsid w:val="00357DFD"/>
    <w:rsid w:val="00357E85"/>
    <w:rsid w:val="00360494"/>
    <w:rsid w:val="00360A6C"/>
    <w:rsid w:val="003611A0"/>
    <w:rsid w:val="003611FA"/>
    <w:rsid w:val="003620AA"/>
    <w:rsid w:val="003626C0"/>
    <w:rsid w:val="00362C5E"/>
    <w:rsid w:val="00362E6F"/>
    <w:rsid w:val="00362FA9"/>
    <w:rsid w:val="003632C2"/>
    <w:rsid w:val="00363417"/>
    <w:rsid w:val="003635F2"/>
    <w:rsid w:val="003637AA"/>
    <w:rsid w:val="003639E5"/>
    <w:rsid w:val="00363D7A"/>
    <w:rsid w:val="00363F6E"/>
    <w:rsid w:val="0036404A"/>
    <w:rsid w:val="003640A7"/>
    <w:rsid w:val="00364EA5"/>
    <w:rsid w:val="0036508D"/>
    <w:rsid w:val="003650E8"/>
    <w:rsid w:val="003651C8"/>
    <w:rsid w:val="003652EA"/>
    <w:rsid w:val="00365A25"/>
    <w:rsid w:val="00365B48"/>
    <w:rsid w:val="00366A77"/>
    <w:rsid w:val="00366BD8"/>
    <w:rsid w:val="00366CAC"/>
    <w:rsid w:val="00366EFF"/>
    <w:rsid w:val="00367440"/>
    <w:rsid w:val="00367888"/>
    <w:rsid w:val="00367894"/>
    <w:rsid w:val="003678F9"/>
    <w:rsid w:val="003679BA"/>
    <w:rsid w:val="00367BFA"/>
    <w:rsid w:val="00367C39"/>
    <w:rsid w:val="00367FD4"/>
    <w:rsid w:val="003700A3"/>
    <w:rsid w:val="00370217"/>
    <w:rsid w:val="00370290"/>
    <w:rsid w:val="003707C3"/>
    <w:rsid w:val="00370B40"/>
    <w:rsid w:val="00371679"/>
    <w:rsid w:val="0037240A"/>
    <w:rsid w:val="00373085"/>
    <w:rsid w:val="003730D6"/>
    <w:rsid w:val="00373411"/>
    <w:rsid w:val="00373D40"/>
    <w:rsid w:val="00373F7A"/>
    <w:rsid w:val="00374251"/>
    <w:rsid w:val="003744B3"/>
    <w:rsid w:val="003745C3"/>
    <w:rsid w:val="003745F4"/>
    <w:rsid w:val="00376E2B"/>
    <w:rsid w:val="00377259"/>
    <w:rsid w:val="0037769E"/>
    <w:rsid w:val="00377BE4"/>
    <w:rsid w:val="00380094"/>
    <w:rsid w:val="003800F0"/>
    <w:rsid w:val="00381180"/>
    <w:rsid w:val="00381AE9"/>
    <w:rsid w:val="00382306"/>
    <w:rsid w:val="00382586"/>
    <w:rsid w:val="0038292B"/>
    <w:rsid w:val="00382B86"/>
    <w:rsid w:val="00382FE3"/>
    <w:rsid w:val="00383071"/>
    <w:rsid w:val="003831AB"/>
    <w:rsid w:val="003832EF"/>
    <w:rsid w:val="003837F4"/>
    <w:rsid w:val="00383C06"/>
    <w:rsid w:val="00384283"/>
    <w:rsid w:val="003845A4"/>
    <w:rsid w:val="003846D9"/>
    <w:rsid w:val="00384F9D"/>
    <w:rsid w:val="00385101"/>
    <w:rsid w:val="0038564A"/>
    <w:rsid w:val="0038576C"/>
    <w:rsid w:val="00385800"/>
    <w:rsid w:val="00385B99"/>
    <w:rsid w:val="00385F39"/>
    <w:rsid w:val="00386492"/>
    <w:rsid w:val="0038676E"/>
    <w:rsid w:val="00386D08"/>
    <w:rsid w:val="0038743E"/>
    <w:rsid w:val="003879DF"/>
    <w:rsid w:val="00387DFA"/>
    <w:rsid w:val="003900B7"/>
    <w:rsid w:val="0039083F"/>
    <w:rsid w:val="00390D65"/>
    <w:rsid w:val="00391374"/>
    <w:rsid w:val="00391472"/>
    <w:rsid w:val="00391A42"/>
    <w:rsid w:val="00391D3B"/>
    <w:rsid w:val="00391FAB"/>
    <w:rsid w:val="00392050"/>
    <w:rsid w:val="00392286"/>
    <w:rsid w:val="00392539"/>
    <w:rsid w:val="00392677"/>
    <w:rsid w:val="00392AC0"/>
    <w:rsid w:val="00392B49"/>
    <w:rsid w:val="0039365B"/>
    <w:rsid w:val="003936EA"/>
    <w:rsid w:val="00393987"/>
    <w:rsid w:val="00393997"/>
    <w:rsid w:val="00393E25"/>
    <w:rsid w:val="00393F57"/>
    <w:rsid w:val="003940F7"/>
    <w:rsid w:val="0039449B"/>
    <w:rsid w:val="0039451D"/>
    <w:rsid w:val="00394981"/>
    <w:rsid w:val="003953A8"/>
    <w:rsid w:val="00395E7E"/>
    <w:rsid w:val="003965D8"/>
    <w:rsid w:val="00396766"/>
    <w:rsid w:val="003968D5"/>
    <w:rsid w:val="00396D6E"/>
    <w:rsid w:val="00396EE8"/>
    <w:rsid w:val="00396FF0"/>
    <w:rsid w:val="0039788E"/>
    <w:rsid w:val="00397F3C"/>
    <w:rsid w:val="00397FED"/>
    <w:rsid w:val="003A0145"/>
    <w:rsid w:val="003A0257"/>
    <w:rsid w:val="003A0529"/>
    <w:rsid w:val="003A0614"/>
    <w:rsid w:val="003A0962"/>
    <w:rsid w:val="003A0CDD"/>
    <w:rsid w:val="003A1112"/>
    <w:rsid w:val="003A1B34"/>
    <w:rsid w:val="003A20B8"/>
    <w:rsid w:val="003A2213"/>
    <w:rsid w:val="003A2385"/>
    <w:rsid w:val="003A2904"/>
    <w:rsid w:val="003A3551"/>
    <w:rsid w:val="003A36BA"/>
    <w:rsid w:val="003A37E9"/>
    <w:rsid w:val="003A38F0"/>
    <w:rsid w:val="003A42F3"/>
    <w:rsid w:val="003A443D"/>
    <w:rsid w:val="003A447D"/>
    <w:rsid w:val="003A486A"/>
    <w:rsid w:val="003A4932"/>
    <w:rsid w:val="003A556D"/>
    <w:rsid w:val="003A5723"/>
    <w:rsid w:val="003A5DD2"/>
    <w:rsid w:val="003A6495"/>
    <w:rsid w:val="003A6627"/>
    <w:rsid w:val="003A66A6"/>
    <w:rsid w:val="003A6A5A"/>
    <w:rsid w:val="003A6E1E"/>
    <w:rsid w:val="003A7025"/>
    <w:rsid w:val="003A72E9"/>
    <w:rsid w:val="003A7460"/>
    <w:rsid w:val="003A76BB"/>
    <w:rsid w:val="003A7BD3"/>
    <w:rsid w:val="003B0173"/>
    <w:rsid w:val="003B0398"/>
    <w:rsid w:val="003B05C4"/>
    <w:rsid w:val="003B0DA5"/>
    <w:rsid w:val="003B0E74"/>
    <w:rsid w:val="003B1583"/>
    <w:rsid w:val="003B1EE4"/>
    <w:rsid w:val="003B2CB8"/>
    <w:rsid w:val="003B2E55"/>
    <w:rsid w:val="003B30C6"/>
    <w:rsid w:val="003B3879"/>
    <w:rsid w:val="003B4A4A"/>
    <w:rsid w:val="003B4C1D"/>
    <w:rsid w:val="003B53A5"/>
    <w:rsid w:val="003B59EE"/>
    <w:rsid w:val="003B5A1B"/>
    <w:rsid w:val="003B5B72"/>
    <w:rsid w:val="003B5C06"/>
    <w:rsid w:val="003B5E4C"/>
    <w:rsid w:val="003B682D"/>
    <w:rsid w:val="003B6B57"/>
    <w:rsid w:val="003B6D71"/>
    <w:rsid w:val="003B6EF2"/>
    <w:rsid w:val="003B72EC"/>
    <w:rsid w:val="003B79FA"/>
    <w:rsid w:val="003B7E7A"/>
    <w:rsid w:val="003C0463"/>
    <w:rsid w:val="003C05F5"/>
    <w:rsid w:val="003C0905"/>
    <w:rsid w:val="003C0F5F"/>
    <w:rsid w:val="003C1CBE"/>
    <w:rsid w:val="003C1EAF"/>
    <w:rsid w:val="003C1F49"/>
    <w:rsid w:val="003C287A"/>
    <w:rsid w:val="003C3460"/>
    <w:rsid w:val="003C346B"/>
    <w:rsid w:val="003C3CE0"/>
    <w:rsid w:val="003C4038"/>
    <w:rsid w:val="003C40EE"/>
    <w:rsid w:val="003C4206"/>
    <w:rsid w:val="003C42F7"/>
    <w:rsid w:val="003C44FF"/>
    <w:rsid w:val="003C479F"/>
    <w:rsid w:val="003C4884"/>
    <w:rsid w:val="003C4BB4"/>
    <w:rsid w:val="003C4F80"/>
    <w:rsid w:val="003C5092"/>
    <w:rsid w:val="003C5137"/>
    <w:rsid w:val="003C57B3"/>
    <w:rsid w:val="003C592E"/>
    <w:rsid w:val="003C5A73"/>
    <w:rsid w:val="003C5DEF"/>
    <w:rsid w:val="003C641E"/>
    <w:rsid w:val="003C6C81"/>
    <w:rsid w:val="003C6F33"/>
    <w:rsid w:val="003C718E"/>
    <w:rsid w:val="003C76F7"/>
    <w:rsid w:val="003C78A6"/>
    <w:rsid w:val="003C7C03"/>
    <w:rsid w:val="003D047F"/>
    <w:rsid w:val="003D0748"/>
    <w:rsid w:val="003D0FBC"/>
    <w:rsid w:val="003D1989"/>
    <w:rsid w:val="003D2333"/>
    <w:rsid w:val="003D251A"/>
    <w:rsid w:val="003D2FBA"/>
    <w:rsid w:val="003D3161"/>
    <w:rsid w:val="003D3227"/>
    <w:rsid w:val="003D36B8"/>
    <w:rsid w:val="003D3A55"/>
    <w:rsid w:val="003D4010"/>
    <w:rsid w:val="003D408F"/>
    <w:rsid w:val="003D4347"/>
    <w:rsid w:val="003D4601"/>
    <w:rsid w:val="003D5269"/>
    <w:rsid w:val="003D5272"/>
    <w:rsid w:val="003D5393"/>
    <w:rsid w:val="003D5413"/>
    <w:rsid w:val="003D54E0"/>
    <w:rsid w:val="003D56A1"/>
    <w:rsid w:val="003D5996"/>
    <w:rsid w:val="003D5D5D"/>
    <w:rsid w:val="003D5F1C"/>
    <w:rsid w:val="003D6407"/>
    <w:rsid w:val="003D647A"/>
    <w:rsid w:val="003D6A90"/>
    <w:rsid w:val="003D6B1D"/>
    <w:rsid w:val="003D6E30"/>
    <w:rsid w:val="003D70A6"/>
    <w:rsid w:val="003D70B5"/>
    <w:rsid w:val="003D727C"/>
    <w:rsid w:val="003D73CE"/>
    <w:rsid w:val="003D753B"/>
    <w:rsid w:val="003D7B41"/>
    <w:rsid w:val="003D7B45"/>
    <w:rsid w:val="003E03E3"/>
    <w:rsid w:val="003E05FE"/>
    <w:rsid w:val="003E0CD7"/>
    <w:rsid w:val="003E14F0"/>
    <w:rsid w:val="003E2042"/>
    <w:rsid w:val="003E2A07"/>
    <w:rsid w:val="003E2F8B"/>
    <w:rsid w:val="003E32D8"/>
    <w:rsid w:val="003E3A04"/>
    <w:rsid w:val="003E3B65"/>
    <w:rsid w:val="003E3C78"/>
    <w:rsid w:val="003E3DDD"/>
    <w:rsid w:val="003E3E19"/>
    <w:rsid w:val="003E427F"/>
    <w:rsid w:val="003E47DE"/>
    <w:rsid w:val="003E47E5"/>
    <w:rsid w:val="003E4CFE"/>
    <w:rsid w:val="003E4F42"/>
    <w:rsid w:val="003E5075"/>
    <w:rsid w:val="003E5233"/>
    <w:rsid w:val="003E5F95"/>
    <w:rsid w:val="003E61FD"/>
    <w:rsid w:val="003E6470"/>
    <w:rsid w:val="003E6F0B"/>
    <w:rsid w:val="003E7790"/>
    <w:rsid w:val="003F0031"/>
    <w:rsid w:val="003F00D4"/>
    <w:rsid w:val="003F00DF"/>
    <w:rsid w:val="003F018C"/>
    <w:rsid w:val="003F058E"/>
    <w:rsid w:val="003F09CB"/>
    <w:rsid w:val="003F0A2A"/>
    <w:rsid w:val="003F10D3"/>
    <w:rsid w:val="003F1150"/>
    <w:rsid w:val="003F11FD"/>
    <w:rsid w:val="003F140D"/>
    <w:rsid w:val="003F143C"/>
    <w:rsid w:val="003F1548"/>
    <w:rsid w:val="003F176D"/>
    <w:rsid w:val="003F1CE6"/>
    <w:rsid w:val="003F228F"/>
    <w:rsid w:val="003F274F"/>
    <w:rsid w:val="003F2B3D"/>
    <w:rsid w:val="003F3105"/>
    <w:rsid w:val="003F319D"/>
    <w:rsid w:val="003F3303"/>
    <w:rsid w:val="003F3328"/>
    <w:rsid w:val="003F35A4"/>
    <w:rsid w:val="003F3700"/>
    <w:rsid w:val="003F3769"/>
    <w:rsid w:val="003F3C34"/>
    <w:rsid w:val="003F3ED7"/>
    <w:rsid w:val="003F3F0F"/>
    <w:rsid w:val="003F4108"/>
    <w:rsid w:val="003F4172"/>
    <w:rsid w:val="003F4222"/>
    <w:rsid w:val="003F4249"/>
    <w:rsid w:val="003F4251"/>
    <w:rsid w:val="003F461D"/>
    <w:rsid w:val="003F47C1"/>
    <w:rsid w:val="003F4940"/>
    <w:rsid w:val="003F4C90"/>
    <w:rsid w:val="003F5071"/>
    <w:rsid w:val="003F5086"/>
    <w:rsid w:val="003F550A"/>
    <w:rsid w:val="003F619A"/>
    <w:rsid w:val="003F6D6A"/>
    <w:rsid w:val="003F6ECC"/>
    <w:rsid w:val="003F6FC9"/>
    <w:rsid w:val="003F7417"/>
    <w:rsid w:val="003F75A9"/>
    <w:rsid w:val="003F7EFA"/>
    <w:rsid w:val="0040003D"/>
    <w:rsid w:val="004000D0"/>
    <w:rsid w:val="00400873"/>
    <w:rsid w:val="00400C90"/>
    <w:rsid w:val="004015EE"/>
    <w:rsid w:val="004019E3"/>
    <w:rsid w:val="00402018"/>
    <w:rsid w:val="00402D65"/>
    <w:rsid w:val="00402E02"/>
    <w:rsid w:val="00403364"/>
    <w:rsid w:val="00403780"/>
    <w:rsid w:val="0040390D"/>
    <w:rsid w:val="00403941"/>
    <w:rsid w:val="00403971"/>
    <w:rsid w:val="00403DE0"/>
    <w:rsid w:val="0040415C"/>
    <w:rsid w:val="00404299"/>
    <w:rsid w:val="0040458D"/>
    <w:rsid w:val="00404D74"/>
    <w:rsid w:val="0040518A"/>
    <w:rsid w:val="004056F3"/>
    <w:rsid w:val="004059DA"/>
    <w:rsid w:val="0040616D"/>
    <w:rsid w:val="0040662C"/>
    <w:rsid w:val="00406A2E"/>
    <w:rsid w:val="00406EF0"/>
    <w:rsid w:val="00407760"/>
    <w:rsid w:val="00407D2B"/>
    <w:rsid w:val="00410A27"/>
    <w:rsid w:val="00410CB2"/>
    <w:rsid w:val="00410E8B"/>
    <w:rsid w:val="00411285"/>
    <w:rsid w:val="00411BB1"/>
    <w:rsid w:val="004124A7"/>
    <w:rsid w:val="004126A1"/>
    <w:rsid w:val="00412FD1"/>
    <w:rsid w:val="004138F8"/>
    <w:rsid w:val="00413B8B"/>
    <w:rsid w:val="0041401B"/>
    <w:rsid w:val="00414091"/>
    <w:rsid w:val="00414210"/>
    <w:rsid w:val="00414410"/>
    <w:rsid w:val="0041450E"/>
    <w:rsid w:val="004148E1"/>
    <w:rsid w:val="00414FE4"/>
    <w:rsid w:val="0041506A"/>
    <w:rsid w:val="00415370"/>
    <w:rsid w:val="00415762"/>
    <w:rsid w:val="00415781"/>
    <w:rsid w:val="00415800"/>
    <w:rsid w:val="00415A0B"/>
    <w:rsid w:val="00415C60"/>
    <w:rsid w:val="00415CE0"/>
    <w:rsid w:val="00415F80"/>
    <w:rsid w:val="004160C2"/>
    <w:rsid w:val="00416BB6"/>
    <w:rsid w:val="00416F40"/>
    <w:rsid w:val="00417769"/>
    <w:rsid w:val="00417A3D"/>
    <w:rsid w:val="004202A7"/>
    <w:rsid w:val="00420819"/>
    <w:rsid w:val="00420C4D"/>
    <w:rsid w:val="004210AA"/>
    <w:rsid w:val="004214D3"/>
    <w:rsid w:val="004215BB"/>
    <w:rsid w:val="0042173F"/>
    <w:rsid w:val="0042192C"/>
    <w:rsid w:val="00421C37"/>
    <w:rsid w:val="00421EF2"/>
    <w:rsid w:val="0042241E"/>
    <w:rsid w:val="00422668"/>
    <w:rsid w:val="00422A8C"/>
    <w:rsid w:val="00422EC3"/>
    <w:rsid w:val="004230B6"/>
    <w:rsid w:val="004235A9"/>
    <w:rsid w:val="004235EE"/>
    <w:rsid w:val="00423782"/>
    <w:rsid w:val="00423900"/>
    <w:rsid w:val="0042392A"/>
    <w:rsid w:val="00423AE9"/>
    <w:rsid w:val="00424972"/>
    <w:rsid w:val="00424B17"/>
    <w:rsid w:val="00424CC9"/>
    <w:rsid w:val="004251EA"/>
    <w:rsid w:val="00425481"/>
    <w:rsid w:val="00425756"/>
    <w:rsid w:val="004259E2"/>
    <w:rsid w:val="00425D95"/>
    <w:rsid w:val="00426176"/>
    <w:rsid w:val="004262C3"/>
    <w:rsid w:val="004266B1"/>
    <w:rsid w:val="00426865"/>
    <w:rsid w:val="00426892"/>
    <w:rsid w:val="00426979"/>
    <w:rsid w:val="00426CA0"/>
    <w:rsid w:val="00426DB8"/>
    <w:rsid w:val="00427460"/>
    <w:rsid w:val="0042747D"/>
    <w:rsid w:val="004277E6"/>
    <w:rsid w:val="00430622"/>
    <w:rsid w:val="004306B1"/>
    <w:rsid w:val="00430EC7"/>
    <w:rsid w:val="00430FAF"/>
    <w:rsid w:val="004310B2"/>
    <w:rsid w:val="004311CE"/>
    <w:rsid w:val="0043166B"/>
    <w:rsid w:val="00431AC1"/>
    <w:rsid w:val="00431B32"/>
    <w:rsid w:val="004322D7"/>
    <w:rsid w:val="00432468"/>
    <w:rsid w:val="004328F1"/>
    <w:rsid w:val="00432989"/>
    <w:rsid w:val="004329C9"/>
    <w:rsid w:val="00432C23"/>
    <w:rsid w:val="00432CD5"/>
    <w:rsid w:val="00432D2B"/>
    <w:rsid w:val="004338F0"/>
    <w:rsid w:val="00434450"/>
    <w:rsid w:val="0043499F"/>
    <w:rsid w:val="00434AAB"/>
    <w:rsid w:val="00434F05"/>
    <w:rsid w:val="00435181"/>
    <w:rsid w:val="00435893"/>
    <w:rsid w:val="00435997"/>
    <w:rsid w:val="00435AC6"/>
    <w:rsid w:val="00435F06"/>
    <w:rsid w:val="004363FA"/>
    <w:rsid w:val="004364CC"/>
    <w:rsid w:val="004367C6"/>
    <w:rsid w:val="004369EF"/>
    <w:rsid w:val="00436B89"/>
    <w:rsid w:val="00436DCD"/>
    <w:rsid w:val="00436F36"/>
    <w:rsid w:val="004376C0"/>
    <w:rsid w:val="00440599"/>
    <w:rsid w:val="004405B0"/>
    <w:rsid w:val="004409C3"/>
    <w:rsid w:val="00440CCD"/>
    <w:rsid w:val="00440D3E"/>
    <w:rsid w:val="0044110B"/>
    <w:rsid w:val="0044177E"/>
    <w:rsid w:val="004417BD"/>
    <w:rsid w:val="00441A35"/>
    <w:rsid w:val="00441FF9"/>
    <w:rsid w:val="00442A49"/>
    <w:rsid w:val="00442B54"/>
    <w:rsid w:val="004431D7"/>
    <w:rsid w:val="0044363A"/>
    <w:rsid w:val="004436E9"/>
    <w:rsid w:val="004437B2"/>
    <w:rsid w:val="0044382F"/>
    <w:rsid w:val="00443D71"/>
    <w:rsid w:val="00443DE8"/>
    <w:rsid w:val="00443E2C"/>
    <w:rsid w:val="0044408A"/>
    <w:rsid w:val="0044415B"/>
    <w:rsid w:val="004442EB"/>
    <w:rsid w:val="004443A5"/>
    <w:rsid w:val="004448B1"/>
    <w:rsid w:val="00444C64"/>
    <w:rsid w:val="00445012"/>
    <w:rsid w:val="0044507C"/>
    <w:rsid w:val="00445331"/>
    <w:rsid w:val="00445A50"/>
    <w:rsid w:val="00445DF5"/>
    <w:rsid w:val="00445F52"/>
    <w:rsid w:val="00446393"/>
    <w:rsid w:val="00447269"/>
    <w:rsid w:val="00447F00"/>
    <w:rsid w:val="00450BC0"/>
    <w:rsid w:val="00450CDA"/>
    <w:rsid w:val="004510A4"/>
    <w:rsid w:val="0045135E"/>
    <w:rsid w:val="00451544"/>
    <w:rsid w:val="004515FF"/>
    <w:rsid w:val="00451A50"/>
    <w:rsid w:val="00452933"/>
    <w:rsid w:val="004535B0"/>
    <w:rsid w:val="00453A9A"/>
    <w:rsid w:val="00453E31"/>
    <w:rsid w:val="0045403E"/>
    <w:rsid w:val="00454597"/>
    <w:rsid w:val="004548E6"/>
    <w:rsid w:val="0045493D"/>
    <w:rsid w:val="00454A6F"/>
    <w:rsid w:val="004552F4"/>
    <w:rsid w:val="0045541F"/>
    <w:rsid w:val="0045543A"/>
    <w:rsid w:val="004556D9"/>
    <w:rsid w:val="0045606C"/>
    <w:rsid w:val="004561F9"/>
    <w:rsid w:val="0045637C"/>
    <w:rsid w:val="0045653A"/>
    <w:rsid w:val="0045695D"/>
    <w:rsid w:val="00456B05"/>
    <w:rsid w:val="00457DC6"/>
    <w:rsid w:val="00460E9A"/>
    <w:rsid w:val="004610C6"/>
    <w:rsid w:val="00461BF2"/>
    <w:rsid w:val="00461D4B"/>
    <w:rsid w:val="00462582"/>
    <w:rsid w:val="00462637"/>
    <w:rsid w:val="004626F8"/>
    <w:rsid w:val="00462D35"/>
    <w:rsid w:val="00463416"/>
    <w:rsid w:val="004634B0"/>
    <w:rsid w:val="00463869"/>
    <w:rsid w:val="00463CD6"/>
    <w:rsid w:val="00463CF9"/>
    <w:rsid w:val="00463EAF"/>
    <w:rsid w:val="0046421B"/>
    <w:rsid w:val="00464A9C"/>
    <w:rsid w:val="00464E8F"/>
    <w:rsid w:val="00464F23"/>
    <w:rsid w:val="004657B3"/>
    <w:rsid w:val="00465A08"/>
    <w:rsid w:val="00466810"/>
    <w:rsid w:val="004668D8"/>
    <w:rsid w:val="00466C93"/>
    <w:rsid w:val="004678C8"/>
    <w:rsid w:val="00467BC2"/>
    <w:rsid w:val="00467C44"/>
    <w:rsid w:val="00467CFB"/>
    <w:rsid w:val="00470418"/>
    <w:rsid w:val="004709AE"/>
    <w:rsid w:val="00471720"/>
    <w:rsid w:val="00471E81"/>
    <w:rsid w:val="0047242B"/>
    <w:rsid w:val="004724AF"/>
    <w:rsid w:val="00472770"/>
    <w:rsid w:val="004727C4"/>
    <w:rsid w:val="004727E8"/>
    <w:rsid w:val="0047302D"/>
    <w:rsid w:val="0047322A"/>
    <w:rsid w:val="00473379"/>
    <w:rsid w:val="004733FB"/>
    <w:rsid w:val="0047352D"/>
    <w:rsid w:val="004743CB"/>
    <w:rsid w:val="00474B50"/>
    <w:rsid w:val="0047578B"/>
    <w:rsid w:val="00475B48"/>
    <w:rsid w:val="004760FD"/>
    <w:rsid w:val="00476442"/>
    <w:rsid w:val="0047652F"/>
    <w:rsid w:val="004767DC"/>
    <w:rsid w:val="0047698C"/>
    <w:rsid w:val="00476FE9"/>
    <w:rsid w:val="00477194"/>
    <w:rsid w:val="00477FAF"/>
    <w:rsid w:val="00480205"/>
    <w:rsid w:val="0048027B"/>
    <w:rsid w:val="00481213"/>
    <w:rsid w:val="00481272"/>
    <w:rsid w:val="00481314"/>
    <w:rsid w:val="004817B5"/>
    <w:rsid w:val="00481E94"/>
    <w:rsid w:val="00481F32"/>
    <w:rsid w:val="00482199"/>
    <w:rsid w:val="0048231B"/>
    <w:rsid w:val="00482478"/>
    <w:rsid w:val="00482592"/>
    <w:rsid w:val="00482CCE"/>
    <w:rsid w:val="00482CCF"/>
    <w:rsid w:val="00483131"/>
    <w:rsid w:val="00483170"/>
    <w:rsid w:val="00483196"/>
    <w:rsid w:val="00483588"/>
    <w:rsid w:val="0048383D"/>
    <w:rsid w:val="00484315"/>
    <w:rsid w:val="004844AC"/>
    <w:rsid w:val="00484B21"/>
    <w:rsid w:val="004851E8"/>
    <w:rsid w:val="0048548F"/>
    <w:rsid w:val="00485580"/>
    <w:rsid w:val="0048578F"/>
    <w:rsid w:val="00485811"/>
    <w:rsid w:val="00485D3A"/>
    <w:rsid w:val="00485E3C"/>
    <w:rsid w:val="004864B4"/>
    <w:rsid w:val="00486A68"/>
    <w:rsid w:val="00486B09"/>
    <w:rsid w:val="00486EFC"/>
    <w:rsid w:val="00487CFA"/>
    <w:rsid w:val="00490187"/>
    <w:rsid w:val="004901CA"/>
    <w:rsid w:val="00490A03"/>
    <w:rsid w:val="00490A10"/>
    <w:rsid w:val="00490A62"/>
    <w:rsid w:val="00490E9E"/>
    <w:rsid w:val="004913B2"/>
    <w:rsid w:val="00491BC4"/>
    <w:rsid w:val="00491F9F"/>
    <w:rsid w:val="00491FBC"/>
    <w:rsid w:val="004920D9"/>
    <w:rsid w:val="0049234C"/>
    <w:rsid w:val="0049242A"/>
    <w:rsid w:val="00492735"/>
    <w:rsid w:val="00492A93"/>
    <w:rsid w:val="00492AF7"/>
    <w:rsid w:val="00492B25"/>
    <w:rsid w:val="00492EC7"/>
    <w:rsid w:val="0049319C"/>
    <w:rsid w:val="00493304"/>
    <w:rsid w:val="004933F5"/>
    <w:rsid w:val="00493C96"/>
    <w:rsid w:val="0049429F"/>
    <w:rsid w:val="004945E8"/>
    <w:rsid w:val="00494932"/>
    <w:rsid w:val="00494FC9"/>
    <w:rsid w:val="00494FF0"/>
    <w:rsid w:val="004950F8"/>
    <w:rsid w:val="00495211"/>
    <w:rsid w:val="004952BF"/>
    <w:rsid w:val="004956F2"/>
    <w:rsid w:val="00495B23"/>
    <w:rsid w:val="00495E19"/>
    <w:rsid w:val="00496742"/>
    <w:rsid w:val="00496AD4"/>
    <w:rsid w:val="00496B09"/>
    <w:rsid w:val="00496CC6"/>
    <w:rsid w:val="00497151"/>
    <w:rsid w:val="00497C10"/>
    <w:rsid w:val="00497C62"/>
    <w:rsid w:val="00497CAB"/>
    <w:rsid w:val="004A0324"/>
    <w:rsid w:val="004A034D"/>
    <w:rsid w:val="004A0C25"/>
    <w:rsid w:val="004A0E76"/>
    <w:rsid w:val="004A1222"/>
    <w:rsid w:val="004A1EA2"/>
    <w:rsid w:val="004A201B"/>
    <w:rsid w:val="004A2604"/>
    <w:rsid w:val="004A27B0"/>
    <w:rsid w:val="004A2B6F"/>
    <w:rsid w:val="004A3807"/>
    <w:rsid w:val="004A3A38"/>
    <w:rsid w:val="004A3BB0"/>
    <w:rsid w:val="004A3BB4"/>
    <w:rsid w:val="004A425E"/>
    <w:rsid w:val="004A4377"/>
    <w:rsid w:val="004A4D2B"/>
    <w:rsid w:val="004A525D"/>
    <w:rsid w:val="004A52C4"/>
    <w:rsid w:val="004A548D"/>
    <w:rsid w:val="004A57EB"/>
    <w:rsid w:val="004A5824"/>
    <w:rsid w:val="004A6211"/>
    <w:rsid w:val="004A67CA"/>
    <w:rsid w:val="004A6C4B"/>
    <w:rsid w:val="004A76FC"/>
    <w:rsid w:val="004A7EC4"/>
    <w:rsid w:val="004B0095"/>
    <w:rsid w:val="004B0416"/>
    <w:rsid w:val="004B0857"/>
    <w:rsid w:val="004B181D"/>
    <w:rsid w:val="004B1CAB"/>
    <w:rsid w:val="004B1ECC"/>
    <w:rsid w:val="004B204F"/>
    <w:rsid w:val="004B2328"/>
    <w:rsid w:val="004B2806"/>
    <w:rsid w:val="004B36ED"/>
    <w:rsid w:val="004B398F"/>
    <w:rsid w:val="004B3A9F"/>
    <w:rsid w:val="004B3B1B"/>
    <w:rsid w:val="004B3D44"/>
    <w:rsid w:val="004B3E66"/>
    <w:rsid w:val="004B41B5"/>
    <w:rsid w:val="004B45F8"/>
    <w:rsid w:val="004B47A1"/>
    <w:rsid w:val="004B4F79"/>
    <w:rsid w:val="004B5171"/>
    <w:rsid w:val="004B57A6"/>
    <w:rsid w:val="004B5DB7"/>
    <w:rsid w:val="004B5F75"/>
    <w:rsid w:val="004B612E"/>
    <w:rsid w:val="004B623B"/>
    <w:rsid w:val="004B63F2"/>
    <w:rsid w:val="004B6685"/>
    <w:rsid w:val="004B6EC6"/>
    <w:rsid w:val="004B7F83"/>
    <w:rsid w:val="004C1025"/>
    <w:rsid w:val="004C1315"/>
    <w:rsid w:val="004C1931"/>
    <w:rsid w:val="004C1BAB"/>
    <w:rsid w:val="004C1E13"/>
    <w:rsid w:val="004C1E18"/>
    <w:rsid w:val="004C1EA7"/>
    <w:rsid w:val="004C21B7"/>
    <w:rsid w:val="004C2A0C"/>
    <w:rsid w:val="004C2A81"/>
    <w:rsid w:val="004C2B60"/>
    <w:rsid w:val="004C3E02"/>
    <w:rsid w:val="004C3EE4"/>
    <w:rsid w:val="004C4010"/>
    <w:rsid w:val="004C422D"/>
    <w:rsid w:val="004C427C"/>
    <w:rsid w:val="004C440F"/>
    <w:rsid w:val="004C456D"/>
    <w:rsid w:val="004C4AA9"/>
    <w:rsid w:val="004C4CEB"/>
    <w:rsid w:val="004C5972"/>
    <w:rsid w:val="004C5CF1"/>
    <w:rsid w:val="004C667A"/>
    <w:rsid w:val="004C66A9"/>
    <w:rsid w:val="004C6D8E"/>
    <w:rsid w:val="004C71DF"/>
    <w:rsid w:val="004C76FA"/>
    <w:rsid w:val="004C7A27"/>
    <w:rsid w:val="004C7CAC"/>
    <w:rsid w:val="004C7CE4"/>
    <w:rsid w:val="004C7D2D"/>
    <w:rsid w:val="004C7F7C"/>
    <w:rsid w:val="004D000F"/>
    <w:rsid w:val="004D0538"/>
    <w:rsid w:val="004D0551"/>
    <w:rsid w:val="004D0571"/>
    <w:rsid w:val="004D0757"/>
    <w:rsid w:val="004D0855"/>
    <w:rsid w:val="004D0C91"/>
    <w:rsid w:val="004D0D3E"/>
    <w:rsid w:val="004D0F03"/>
    <w:rsid w:val="004D121C"/>
    <w:rsid w:val="004D17CC"/>
    <w:rsid w:val="004D1B13"/>
    <w:rsid w:val="004D1ECA"/>
    <w:rsid w:val="004D28EF"/>
    <w:rsid w:val="004D2A4E"/>
    <w:rsid w:val="004D2C36"/>
    <w:rsid w:val="004D3733"/>
    <w:rsid w:val="004D466E"/>
    <w:rsid w:val="004D49C4"/>
    <w:rsid w:val="004D4AC6"/>
    <w:rsid w:val="004D4AE0"/>
    <w:rsid w:val="004D4C4C"/>
    <w:rsid w:val="004D4CF1"/>
    <w:rsid w:val="004D56B6"/>
    <w:rsid w:val="004D5A88"/>
    <w:rsid w:val="004D5DEC"/>
    <w:rsid w:val="004D60A0"/>
    <w:rsid w:val="004D63A1"/>
    <w:rsid w:val="004D69A2"/>
    <w:rsid w:val="004D7BE9"/>
    <w:rsid w:val="004D7BF4"/>
    <w:rsid w:val="004D7C41"/>
    <w:rsid w:val="004D7C92"/>
    <w:rsid w:val="004D7FE3"/>
    <w:rsid w:val="004E028C"/>
    <w:rsid w:val="004E0471"/>
    <w:rsid w:val="004E077B"/>
    <w:rsid w:val="004E09D1"/>
    <w:rsid w:val="004E0A57"/>
    <w:rsid w:val="004E0E95"/>
    <w:rsid w:val="004E19BA"/>
    <w:rsid w:val="004E1AF8"/>
    <w:rsid w:val="004E216F"/>
    <w:rsid w:val="004E23D0"/>
    <w:rsid w:val="004E24ED"/>
    <w:rsid w:val="004E3061"/>
    <w:rsid w:val="004E35BF"/>
    <w:rsid w:val="004E38B2"/>
    <w:rsid w:val="004E3936"/>
    <w:rsid w:val="004E41F5"/>
    <w:rsid w:val="004E45B6"/>
    <w:rsid w:val="004E4BB5"/>
    <w:rsid w:val="004E50CC"/>
    <w:rsid w:val="004E51A0"/>
    <w:rsid w:val="004E5760"/>
    <w:rsid w:val="004E57F7"/>
    <w:rsid w:val="004E58E4"/>
    <w:rsid w:val="004E5D9C"/>
    <w:rsid w:val="004E6289"/>
    <w:rsid w:val="004E6B8E"/>
    <w:rsid w:val="004E6E2E"/>
    <w:rsid w:val="004E7F4F"/>
    <w:rsid w:val="004F00BC"/>
    <w:rsid w:val="004F0310"/>
    <w:rsid w:val="004F0450"/>
    <w:rsid w:val="004F0543"/>
    <w:rsid w:val="004F0DDD"/>
    <w:rsid w:val="004F114F"/>
    <w:rsid w:val="004F1B86"/>
    <w:rsid w:val="004F1E2E"/>
    <w:rsid w:val="004F202F"/>
    <w:rsid w:val="004F25B7"/>
    <w:rsid w:val="004F48D9"/>
    <w:rsid w:val="004F4ACD"/>
    <w:rsid w:val="004F4F1C"/>
    <w:rsid w:val="004F578B"/>
    <w:rsid w:val="004F5BE5"/>
    <w:rsid w:val="004F5E1F"/>
    <w:rsid w:val="004F63F8"/>
    <w:rsid w:val="004F713A"/>
    <w:rsid w:val="004F71AF"/>
    <w:rsid w:val="004F72AD"/>
    <w:rsid w:val="004F7362"/>
    <w:rsid w:val="004F7408"/>
    <w:rsid w:val="004F7BA5"/>
    <w:rsid w:val="00500035"/>
    <w:rsid w:val="00500632"/>
    <w:rsid w:val="005007FD"/>
    <w:rsid w:val="00500BDE"/>
    <w:rsid w:val="00500D8E"/>
    <w:rsid w:val="00500E97"/>
    <w:rsid w:val="00500F7A"/>
    <w:rsid w:val="005010F3"/>
    <w:rsid w:val="005011A4"/>
    <w:rsid w:val="005012AD"/>
    <w:rsid w:val="00501849"/>
    <w:rsid w:val="0050198C"/>
    <w:rsid w:val="00501ED8"/>
    <w:rsid w:val="00501F97"/>
    <w:rsid w:val="00502122"/>
    <w:rsid w:val="0050241C"/>
    <w:rsid w:val="005027BB"/>
    <w:rsid w:val="00502AC5"/>
    <w:rsid w:val="0050319C"/>
    <w:rsid w:val="005037E1"/>
    <w:rsid w:val="00503B1A"/>
    <w:rsid w:val="00503B5C"/>
    <w:rsid w:val="00503B96"/>
    <w:rsid w:val="00503D2C"/>
    <w:rsid w:val="0050456A"/>
    <w:rsid w:val="00504FB0"/>
    <w:rsid w:val="00505E1D"/>
    <w:rsid w:val="00506463"/>
    <w:rsid w:val="005068E1"/>
    <w:rsid w:val="00506CE0"/>
    <w:rsid w:val="00506E02"/>
    <w:rsid w:val="005070EA"/>
    <w:rsid w:val="0050760D"/>
    <w:rsid w:val="005077C5"/>
    <w:rsid w:val="00510870"/>
    <w:rsid w:val="00510893"/>
    <w:rsid w:val="00510AD9"/>
    <w:rsid w:val="005110BA"/>
    <w:rsid w:val="0051168A"/>
    <w:rsid w:val="00512085"/>
    <w:rsid w:val="005122F4"/>
    <w:rsid w:val="0051390F"/>
    <w:rsid w:val="005141DA"/>
    <w:rsid w:val="005141DD"/>
    <w:rsid w:val="00514E36"/>
    <w:rsid w:val="00515307"/>
    <w:rsid w:val="00515316"/>
    <w:rsid w:val="005156A6"/>
    <w:rsid w:val="005158CE"/>
    <w:rsid w:val="0051636C"/>
    <w:rsid w:val="00516393"/>
    <w:rsid w:val="00516AD8"/>
    <w:rsid w:val="0052054F"/>
    <w:rsid w:val="00520B4F"/>
    <w:rsid w:val="00520D42"/>
    <w:rsid w:val="00521511"/>
    <w:rsid w:val="00521AFB"/>
    <w:rsid w:val="00522423"/>
    <w:rsid w:val="00522B33"/>
    <w:rsid w:val="00522DB0"/>
    <w:rsid w:val="00523306"/>
    <w:rsid w:val="00523686"/>
    <w:rsid w:val="00523B66"/>
    <w:rsid w:val="00523EF2"/>
    <w:rsid w:val="00523F51"/>
    <w:rsid w:val="00524016"/>
    <w:rsid w:val="0052437C"/>
    <w:rsid w:val="005244A4"/>
    <w:rsid w:val="00524AD7"/>
    <w:rsid w:val="00524EEF"/>
    <w:rsid w:val="005254E1"/>
    <w:rsid w:val="005255A4"/>
    <w:rsid w:val="00525727"/>
    <w:rsid w:val="005258CF"/>
    <w:rsid w:val="0052591E"/>
    <w:rsid w:val="00525B43"/>
    <w:rsid w:val="00525F07"/>
    <w:rsid w:val="00525F40"/>
    <w:rsid w:val="0052639A"/>
    <w:rsid w:val="00526477"/>
    <w:rsid w:val="00526691"/>
    <w:rsid w:val="00526C46"/>
    <w:rsid w:val="00526E3D"/>
    <w:rsid w:val="00527007"/>
    <w:rsid w:val="005277E1"/>
    <w:rsid w:val="00527E5C"/>
    <w:rsid w:val="0053027E"/>
    <w:rsid w:val="00531240"/>
    <w:rsid w:val="005312E8"/>
    <w:rsid w:val="005313F7"/>
    <w:rsid w:val="00531F39"/>
    <w:rsid w:val="00532607"/>
    <w:rsid w:val="00532767"/>
    <w:rsid w:val="005328BA"/>
    <w:rsid w:val="00532B70"/>
    <w:rsid w:val="00532B82"/>
    <w:rsid w:val="005331F1"/>
    <w:rsid w:val="00533920"/>
    <w:rsid w:val="005339AA"/>
    <w:rsid w:val="00533DC4"/>
    <w:rsid w:val="0053480E"/>
    <w:rsid w:val="00534ED5"/>
    <w:rsid w:val="00535324"/>
    <w:rsid w:val="0053540E"/>
    <w:rsid w:val="00535521"/>
    <w:rsid w:val="005358E0"/>
    <w:rsid w:val="00535969"/>
    <w:rsid w:val="00535C15"/>
    <w:rsid w:val="00535F4E"/>
    <w:rsid w:val="0053658F"/>
    <w:rsid w:val="005366F8"/>
    <w:rsid w:val="0053678B"/>
    <w:rsid w:val="00536C92"/>
    <w:rsid w:val="00536D27"/>
    <w:rsid w:val="00536DEF"/>
    <w:rsid w:val="005371C4"/>
    <w:rsid w:val="0053749F"/>
    <w:rsid w:val="005378B7"/>
    <w:rsid w:val="005404B0"/>
    <w:rsid w:val="005410E8"/>
    <w:rsid w:val="0054125E"/>
    <w:rsid w:val="00541317"/>
    <w:rsid w:val="0054170F"/>
    <w:rsid w:val="005419F2"/>
    <w:rsid w:val="00541C30"/>
    <w:rsid w:val="0054209B"/>
    <w:rsid w:val="0054216F"/>
    <w:rsid w:val="0054224D"/>
    <w:rsid w:val="005422EB"/>
    <w:rsid w:val="0054294B"/>
    <w:rsid w:val="00542969"/>
    <w:rsid w:val="00542B4C"/>
    <w:rsid w:val="00542BB8"/>
    <w:rsid w:val="00542D37"/>
    <w:rsid w:val="00542F18"/>
    <w:rsid w:val="00543397"/>
    <w:rsid w:val="00543879"/>
    <w:rsid w:val="005439A1"/>
    <w:rsid w:val="00543C00"/>
    <w:rsid w:val="00544457"/>
    <w:rsid w:val="00544492"/>
    <w:rsid w:val="005445E7"/>
    <w:rsid w:val="005446F0"/>
    <w:rsid w:val="00544824"/>
    <w:rsid w:val="00544853"/>
    <w:rsid w:val="00544984"/>
    <w:rsid w:val="00544B34"/>
    <w:rsid w:val="00544B7A"/>
    <w:rsid w:val="005450E2"/>
    <w:rsid w:val="005452E2"/>
    <w:rsid w:val="005456F8"/>
    <w:rsid w:val="0054576E"/>
    <w:rsid w:val="00545E01"/>
    <w:rsid w:val="00545E91"/>
    <w:rsid w:val="00545F3B"/>
    <w:rsid w:val="0054644C"/>
    <w:rsid w:val="005467C6"/>
    <w:rsid w:val="00546D2D"/>
    <w:rsid w:val="00547033"/>
    <w:rsid w:val="0054750F"/>
    <w:rsid w:val="00547AC8"/>
    <w:rsid w:val="0055001C"/>
    <w:rsid w:val="005500B1"/>
    <w:rsid w:val="00550502"/>
    <w:rsid w:val="0055054D"/>
    <w:rsid w:val="0055086B"/>
    <w:rsid w:val="005508E3"/>
    <w:rsid w:val="005508EB"/>
    <w:rsid w:val="00550D43"/>
    <w:rsid w:val="00550DD7"/>
    <w:rsid w:val="00550ECE"/>
    <w:rsid w:val="0055106C"/>
    <w:rsid w:val="005510A0"/>
    <w:rsid w:val="005512D5"/>
    <w:rsid w:val="0055175A"/>
    <w:rsid w:val="00551DEC"/>
    <w:rsid w:val="00552096"/>
    <w:rsid w:val="0055245B"/>
    <w:rsid w:val="0055255F"/>
    <w:rsid w:val="00552717"/>
    <w:rsid w:val="005529FC"/>
    <w:rsid w:val="005531D8"/>
    <w:rsid w:val="0055321F"/>
    <w:rsid w:val="00553D54"/>
    <w:rsid w:val="00553F9F"/>
    <w:rsid w:val="005546BF"/>
    <w:rsid w:val="00554CB6"/>
    <w:rsid w:val="00554E36"/>
    <w:rsid w:val="00554FC3"/>
    <w:rsid w:val="0055541D"/>
    <w:rsid w:val="00555523"/>
    <w:rsid w:val="00555827"/>
    <w:rsid w:val="00555E0D"/>
    <w:rsid w:val="00556E02"/>
    <w:rsid w:val="0055764E"/>
    <w:rsid w:val="0055783F"/>
    <w:rsid w:val="00557CF4"/>
    <w:rsid w:val="005602B5"/>
    <w:rsid w:val="00560528"/>
    <w:rsid w:val="00560A5E"/>
    <w:rsid w:val="00560D92"/>
    <w:rsid w:val="005616D9"/>
    <w:rsid w:val="00561740"/>
    <w:rsid w:val="00561923"/>
    <w:rsid w:val="00561D24"/>
    <w:rsid w:val="0056295E"/>
    <w:rsid w:val="0056310A"/>
    <w:rsid w:val="005636AB"/>
    <w:rsid w:val="00563C49"/>
    <w:rsid w:val="00564A64"/>
    <w:rsid w:val="00564CB0"/>
    <w:rsid w:val="00565452"/>
    <w:rsid w:val="00565888"/>
    <w:rsid w:val="00565AC1"/>
    <w:rsid w:val="005666B8"/>
    <w:rsid w:val="00566920"/>
    <w:rsid w:val="005675FA"/>
    <w:rsid w:val="00567A04"/>
    <w:rsid w:val="00567F76"/>
    <w:rsid w:val="00570239"/>
    <w:rsid w:val="005703BB"/>
    <w:rsid w:val="005704CB"/>
    <w:rsid w:val="00570723"/>
    <w:rsid w:val="0057093C"/>
    <w:rsid w:val="00570D7F"/>
    <w:rsid w:val="00570DF4"/>
    <w:rsid w:val="00570E81"/>
    <w:rsid w:val="005710A9"/>
    <w:rsid w:val="0057152C"/>
    <w:rsid w:val="005715D4"/>
    <w:rsid w:val="0057178D"/>
    <w:rsid w:val="00571D59"/>
    <w:rsid w:val="00572165"/>
    <w:rsid w:val="00572225"/>
    <w:rsid w:val="00572E3E"/>
    <w:rsid w:val="00572FB0"/>
    <w:rsid w:val="00573207"/>
    <w:rsid w:val="00573335"/>
    <w:rsid w:val="0057338B"/>
    <w:rsid w:val="00573619"/>
    <w:rsid w:val="005737F5"/>
    <w:rsid w:val="00573BA4"/>
    <w:rsid w:val="00574182"/>
    <w:rsid w:val="005741C2"/>
    <w:rsid w:val="00574209"/>
    <w:rsid w:val="0057420B"/>
    <w:rsid w:val="005750E9"/>
    <w:rsid w:val="0057538F"/>
    <w:rsid w:val="0057541F"/>
    <w:rsid w:val="0057571E"/>
    <w:rsid w:val="00575951"/>
    <w:rsid w:val="00575CDD"/>
    <w:rsid w:val="00576330"/>
    <w:rsid w:val="0057657F"/>
    <w:rsid w:val="0057673C"/>
    <w:rsid w:val="00576B07"/>
    <w:rsid w:val="005773F5"/>
    <w:rsid w:val="005777A5"/>
    <w:rsid w:val="00577A21"/>
    <w:rsid w:val="00577E70"/>
    <w:rsid w:val="00580280"/>
    <w:rsid w:val="0058031C"/>
    <w:rsid w:val="00580EA4"/>
    <w:rsid w:val="0058135A"/>
    <w:rsid w:val="005813C3"/>
    <w:rsid w:val="005815FE"/>
    <w:rsid w:val="0058163B"/>
    <w:rsid w:val="00582C36"/>
    <w:rsid w:val="00582D44"/>
    <w:rsid w:val="00583424"/>
    <w:rsid w:val="005838DD"/>
    <w:rsid w:val="00583AA1"/>
    <w:rsid w:val="00583AB1"/>
    <w:rsid w:val="00583BF0"/>
    <w:rsid w:val="00583FDC"/>
    <w:rsid w:val="00584058"/>
    <w:rsid w:val="005847E2"/>
    <w:rsid w:val="00584925"/>
    <w:rsid w:val="00584DC2"/>
    <w:rsid w:val="00585571"/>
    <w:rsid w:val="005855F8"/>
    <w:rsid w:val="00585991"/>
    <w:rsid w:val="00585B91"/>
    <w:rsid w:val="00586978"/>
    <w:rsid w:val="005869CA"/>
    <w:rsid w:val="005869E2"/>
    <w:rsid w:val="00586BF1"/>
    <w:rsid w:val="005872CC"/>
    <w:rsid w:val="005872FC"/>
    <w:rsid w:val="0058745C"/>
    <w:rsid w:val="00587AE1"/>
    <w:rsid w:val="00587C78"/>
    <w:rsid w:val="00590097"/>
    <w:rsid w:val="005903E4"/>
    <w:rsid w:val="00590888"/>
    <w:rsid w:val="00590954"/>
    <w:rsid w:val="00591256"/>
    <w:rsid w:val="00591447"/>
    <w:rsid w:val="005917DF"/>
    <w:rsid w:val="00591CB0"/>
    <w:rsid w:val="0059281B"/>
    <w:rsid w:val="00592899"/>
    <w:rsid w:val="00593139"/>
    <w:rsid w:val="00593386"/>
    <w:rsid w:val="00593499"/>
    <w:rsid w:val="0059424C"/>
    <w:rsid w:val="005943AE"/>
    <w:rsid w:val="0059442B"/>
    <w:rsid w:val="005946DF"/>
    <w:rsid w:val="00594826"/>
    <w:rsid w:val="005948B3"/>
    <w:rsid w:val="005950D6"/>
    <w:rsid w:val="005951A5"/>
    <w:rsid w:val="00595486"/>
    <w:rsid w:val="005958D0"/>
    <w:rsid w:val="0059594B"/>
    <w:rsid w:val="005962B6"/>
    <w:rsid w:val="00596ED3"/>
    <w:rsid w:val="00596F70"/>
    <w:rsid w:val="005970E6"/>
    <w:rsid w:val="0059751C"/>
    <w:rsid w:val="0059786C"/>
    <w:rsid w:val="00597919"/>
    <w:rsid w:val="00597BF0"/>
    <w:rsid w:val="005A0000"/>
    <w:rsid w:val="005A0506"/>
    <w:rsid w:val="005A08FB"/>
    <w:rsid w:val="005A0B9F"/>
    <w:rsid w:val="005A0C48"/>
    <w:rsid w:val="005A0D08"/>
    <w:rsid w:val="005A0D31"/>
    <w:rsid w:val="005A15F2"/>
    <w:rsid w:val="005A1625"/>
    <w:rsid w:val="005A1A01"/>
    <w:rsid w:val="005A2533"/>
    <w:rsid w:val="005A2C5F"/>
    <w:rsid w:val="005A2FCE"/>
    <w:rsid w:val="005A3ACA"/>
    <w:rsid w:val="005A3B1B"/>
    <w:rsid w:val="005A3EC7"/>
    <w:rsid w:val="005A42FD"/>
    <w:rsid w:val="005A4385"/>
    <w:rsid w:val="005A45E5"/>
    <w:rsid w:val="005A4707"/>
    <w:rsid w:val="005A496B"/>
    <w:rsid w:val="005A4BDD"/>
    <w:rsid w:val="005A5171"/>
    <w:rsid w:val="005A54B5"/>
    <w:rsid w:val="005A5CC8"/>
    <w:rsid w:val="005A5D1A"/>
    <w:rsid w:val="005A5F78"/>
    <w:rsid w:val="005A6089"/>
    <w:rsid w:val="005A61B8"/>
    <w:rsid w:val="005A63D8"/>
    <w:rsid w:val="005A64E5"/>
    <w:rsid w:val="005A73D7"/>
    <w:rsid w:val="005A7DBE"/>
    <w:rsid w:val="005A7E63"/>
    <w:rsid w:val="005A7F81"/>
    <w:rsid w:val="005B075B"/>
    <w:rsid w:val="005B1082"/>
    <w:rsid w:val="005B1A5E"/>
    <w:rsid w:val="005B1C50"/>
    <w:rsid w:val="005B1EB5"/>
    <w:rsid w:val="005B2218"/>
    <w:rsid w:val="005B2C3A"/>
    <w:rsid w:val="005B32CE"/>
    <w:rsid w:val="005B33DC"/>
    <w:rsid w:val="005B34EE"/>
    <w:rsid w:val="005B3568"/>
    <w:rsid w:val="005B3606"/>
    <w:rsid w:val="005B3ED7"/>
    <w:rsid w:val="005B4393"/>
    <w:rsid w:val="005B446E"/>
    <w:rsid w:val="005B4788"/>
    <w:rsid w:val="005B49B6"/>
    <w:rsid w:val="005B4A45"/>
    <w:rsid w:val="005B4D55"/>
    <w:rsid w:val="005B54AB"/>
    <w:rsid w:val="005B5D5E"/>
    <w:rsid w:val="005B5FDA"/>
    <w:rsid w:val="005B68A7"/>
    <w:rsid w:val="005B6AD2"/>
    <w:rsid w:val="005B6B9D"/>
    <w:rsid w:val="005B6E36"/>
    <w:rsid w:val="005B7295"/>
    <w:rsid w:val="005B741A"/>
    <w:rsid w:val="005B74C5"/>
    <w:rsid w:val="005B7733"/>
    <w:rsid w:val="005B77AB"/>
    <w:rsid w:val="005B7A22"/>
    <w:rsid w:val="005C00C1"/>
    <w:rsid w:val="005C03FA"/>
    <w:rsid w:val="005C047D"/>
    <w:rsid w:val="005C0602"/>
    <w:rsid w:val="005C0A73"/>
    <w:rsid w:val="005C0AC6"/>
    <w:rsid w:val="005C0B86"/>
    <w:rsid w:val="005C123C"/>
    <w:rsid w:val="005C1AC4"/>
    <w:rsid w:val="005C2114"/>
    <w:rsid w:val="005C2362"/>
    <w:rsid w:val="005C25C7"/>
    <w:rsid w:val="005C25DD"/>
    <w:rsid w:val="005C2766"/>
    <w:rsid w:val="005C2A4C"/>
    <w:rsid w:val="005C2E28"/>
    <w:rsid w:val="005C300C"/>
    <w:rsid w:val="005C3015"/>
    <w:rsid w:val="005C3069"/>
    <w:rsid w:val="005C343C"/>
    <w:rsid w:val="005C37F5"/>
    <w:rsid w:val="005C40C7"/>
    <w:rsid w:val="005C42B0"/>
    <w:rsid w:val="005C42DA"/>
    <w:rsid w:val="005C438F"/>
    <w:rsid w:val="005C44D5"/>
    <w:rsid w:val="005C46F1"/>
    <w:rsid w:val="005C4A96"/>
    <w:rsid w:val="005C4C7F"/>
    <w:rsid w:val="005C4E3A"/>
    <w:rsid w:val="005C5042"/>
    <w:rsid w:val="005C5AF9"/>
    <w:rsid w:val="005C63FA"/>
    <w:rsid w:val="005C737D"/>
    <w:rsid w:val="005C75D1"/>
    <w:rsid w:val="005C773A"/>
    <w:rsid w:val="005C7C28"/>
    <w:rsid w:val="005C7F98"/>
    <w:rsid w:val="005D03A5"/>
    <w:rsid w:val="005D0512"/>
    <w:rsid w:val="005D058E"/>
    <w:rsid w:val="005D082B"/>
    <w:rsid w:val="005D0877"/>
    <w:rsid w:val="005D0976"/>
    <w:rsid w:val="005D097F"/>
    <w:rsid w:val="005D0E7C"/>
    <w:rsid w:val="005D1576"/>
    <w:rsid w:val="005D1762"/>
    <w:rsid w:val="005D1AF3"/>
    <w:rsid w:val="005D1D9F"/>
    <w:rsid w:val="005D2217"/>
    <w:rsid w:val="005D2667"/>
    <w:rsid w:val="005D3372"/>
    <w:rsid w:val="005D3485"/>
    <w:rsid w:val="005D34BF"/>
    <w:rsid w:val="005D3E22"/>
    <w:rsid w:val="005D3EBB"/>
    <w:rsid w:val="005D42B4"/>
    <w:rsid w:val="005D4CF7"/>
    <w:rsid w:val="005D51D9"/>
    <w:rsid w:val="005D5347"/>
    <w:rsid w:val="005D53A2"/>
    <w:rsid w:val="005D570F"/>
    <w:rsid w:val="005D576A"/>
    <w:rsid w:val="005D5A70"/>
    <w:rsid w:val="005D5CC5"/>
    <w:rsid w:val="005D5E85"/>
    <w:rsid w:val="005D6489"/>
    <w:rsid w:val="005D6732"/>
    <w:rsid w:val="005D6E0D"/>
    <w:rsid w:val="005D74DD"/>
    <w:rsid w:val="005D7572"/>
    <w:rsid w:val="005D787B"/>
    <w:rsid w:val="005D7E4A"/>
    <w:rsid w:val="005D7E93"/>
    <w:rsid w:val="005E03A7"/>
    <w:rsid w:val="005E0516"/>
    <w:rsid w:val="005E0949"/>
    <w:rsid w:val="005E0C83"/>
    <w:rsid w:val="005E0E3F"/>
    <w:rsid w:val="005E12BE"/>
    <w:rsid w:val="005E1467"/>
    <w:rsid w:val="005E305A"/>
    <w:rsid w:val="005E319D"/>
    <w:rsid w:val="005E3ACB"/>
    <w:rsid w:val="005E3DF8"/>
    <w:rsid w:val="005E3EAE"/>
    <w:rsid w:val="005E3F55"/>
    <w:rsid w:val="005E4660"/>
    <w:rsid w:val="005E4B27"/>
    <w:rsid w:val="005E515C"/>
    <w:rsid w:val="005E6499"/>
    <w:rsid w:val="005E6505"/>
    <w:rsid w:val="005E6F77"/>
    <w:rsid w:val="005E75E3"/>
    <w:rsid w:val="005E76C7"/>
    <w:rsid w:val="005E7B9C"/>
    <w:rsid w:val="005E7BE6"/>
    <w:rsid w:val="005E7ECD"/>
    <w:rsid w:val="005F0215"/>
    <w:rsid w:val="005F0523"/>
    <w:rsid w:val="005F1267"/>
    <w:rsid w:val="005F1C97"/>
    <w:rsid w:val="005F1D43"/>
    <w:rsid w:val="005F2EA8"/>
    <w:rsid w:val="005F3158"/>
    <w:rsid w:val="005F322F"/>
    <w:rsid w:val="005F3322"/>
    <w:rsid w:val="005F3751"/>
    <w:rsid w:val="005F3A56"/>
    <w:rsid w:val="005F3EC3"/>
    <w:rsid w:val="005F4136"/>
    <w:rsid w:val="005F42F2"/>
    <w:rsid w:val="005F446D"/>
    <w:rsid w:val="005F488D"/>
    <w:rsid w:val="005F4E73"/>
    <w:rsid w:val="005F5005"/>
    <w:rsid w:val="005F5117"/>
    <w:rsid w:val="005F51D2"/>
    <w:rsid w:val="005F584B"/>
    <w:rsid w:val="005F5F7B"/>
    <w:rsid w:val="005F61E1"/>
    <w:rsid w:val="005F637A"/>
    <w:rsid w:val="005F64C6"/>
    <w:rsid w:val="005F76FB"/>
    <w:rsid w:val="005F784D"/>
    <w:rsid w:val="005F7A0B"/>
    <w:rsid w:val="0060054F"/>
    <w:rsid w:val="0060081A"/>
    <w:rsid w:val="006008F1"/>
    <w:rsid w:val="00600C01"/>
    <w:rsid w:val="006014DB"/>
    <w:rsid w:val="00601735"/>
    <w:rsid w:val="006018B5"/>
    <w:rsid w:val="00601BE4"/>
    <w:rsid w:val="006022AD"/>
    <w:rsid w:val="006022E0"/>
    <w:rsid w:val="006023AE"/>
    <w:rsid w:val="006025F2"/>
    <w:rsid w:val="0060279C"/>
    <w:rsid w:val="00602AC4"/>
    <w:rsid w:val="00602B46"/>
    <w:rsid w:val="00602BD2"/>
    <w:rsid w:val="00602C37"/>
    <w:rsid w:val="006031A6"/>
    <w:rsid w:val="00603383"/>
    <w:rsid w:val="00603480"/>
    <w:rsid w:val="0060376C"/>
    <w:rsid w:val="00603817"/>
    <w:rsid w:val="006039B8"/>
    <w:rsid w:val="00603B25"/>
    <w:rsid w:val="00603D7A"/>
    <w:rsid w:val="0060408F"/>
    <w:rsid w:val="00604174"/>
    <w:rsid w:val="006043F3"/>
    <w:rsid w:val="006049ED"/>
    <w:rsid w:val="00604B87"/>
    <w:rsid w:val="00605275"/>
    <w:rsid w:val="00605529"/>
    <w:rsid w:val="00605A3E"/>
    <w:rsid w:val="00605CAB"/>
    <w:rsid w:val="00605D1D"/>
    <w:rsid w:val="00605DAE"/>
    <w:rsid w:val="00605DB9"/>
    <w:rsid w:val="00605DE2"/>
    <w:rsid w:val="0060650E"/>
    <w:rsid w:val="006065CF"/>
    <w:rsid w:val="00606C41"/>
    <w:rsid w:val="00606E5D"/>
    <w:rsid w:val="0060724D"/>
    <w:rsid w:val="006076EF"/>
    <w:rsid w:val="006079C8"/>
    <w:rsid w:val="006103A8"/>
    <w:rsid w:val="00610F39"/>
    <w:rsid w:val="006112C2"/>
    <w:rsid w:val="0061150D"/>
    <w:rsid w:val="00611D9C"/>
    <w:rsid w:val="00612E59"/>
    <w:rsid w:val="0061315B"/>
    <w:rsid w:val="006132CC"/>
    <w:rsid w:val="00613343"/>
    <w:rsid w:val="00613ADC"/>
    <w:rsid w:val="00613C12"/>
    <w:rsid w:val="00613C47"/>
    <w:rsid w:val="00614071"/>
    <w:rsid w:val="00614292"/>
    <w:rsid w:val="006148AC"/>
    <w:rsid w:val="006153E5"/>
    <w:rsid w:val="00615654"/>
    <w:rsid w:val="00615741"/>
    <w:rsid w:val="00615A56"/>
    <w:rsid w:val="00616201"/>
    <w:rsid w:val="00616225"/>
    <w:rsid w:val="00616C1C"/>
    <w:rsid w:val="00616D5E"/>
    <w:rsid w:val="00616EEC"/>
    <w:rsid w:val="00617270"/>
    <w:rsid w:val="00617A8B"/>
    <w:rsid w:val="00617C23"/>
    <w:rsid w:val="006200B8"/>
    <w:rsid w:val="00620272"/>
    <w:rsid w:val="0062040C"/>
    <w:rsid w:val="00620422"/>
    <w:rsid w:val="0062058A"/>
    <w:rsid w:val="006205BF"/>
    <w:rsid w:val="006208F9"/>
    <w:rsid w:val="00620A9B"/>
    <w:rsid w:val="00620CE4"/>
    <w:rsid w:val="0062100C"/>
    <w:rsid w:val="00621343"/>
    <w:rsid w:val="00621BA6"/>
    <w:rsid w:val="00621F46"/>
    <w:rsid w:val="0062224C"/>
    <w:rsid w:val="00622CD5"/>
    <w:rsid w:val="00622FEA"/>
    <w:rsid w:val="0062349B"/>
    <w:rsid w:val="006235BB"/>
    <w:rsid w:val="00623B67"/>
    <w:rsid w:val="00623C19"/>
    <w:rsid w:val="00623CDF"/>
    <w:rsid w:val="00623DB1"/>
    <w:rsid w:val="00623EB3"/>
    <w:rsid w:val="00623F6A"/>
    <w:rsid w:val="006241D2"/>
    <w:rsid w:val="006245F3"/>
    <w:rsid w:val="00624ABF"/>
    <w:rsid w:val="00624B63"/>
    <w:rsid w:val="00624E6F"/>
    <w:rsid w:val="006252E6"/>
    <w:rsid w:val="0062552F"/>
    <w:rsid w:val="00625A17"/>
    <w:rsid w:val="00625B47"/>
    <w:rsid w:val="00625BE6"/>
    <w:rsid w:val="00625D54"/>
    <w:rsid w:val="00626337"/>
    <w:rsid w:val="006268E4"/>
    <w:rsid w:val="00626A11"/>
    <w:rsid w:val="00626A1D"/>
    <w:rsid w:val="00626BE7"/>
    <w:rsid w:val="0062726B"/>
    <w:rsid w:val="0062767B"/>
    <w:rsid w:val="0062770D"/>
    <w:rsid w:val="00627ED6"/>
    <w:rsid w:val="006304D2"/>
    <w:rsid w:val="00630C76"/>
    <w:rsid w:val="00630CC5"/>
    <w:rsid w:val="0063196A"/>
    <w:rsid w:val="006319CA"/>
    <w:rsid w:val="00631A66"/>
    <w:rsid w:val="00631B1B"/>
    <w:rsid w:val="00631C49"/>
    <w:rsid w:val="00631D45"/>
    <w:rsid w:val="00632B41"/>
    <w:rsid w:val="00633107"/>
    <w:rsid w:val="006338BC"/>
    <w:rsid w:val="00633AA9"/>
    <w:rsid w:val="00633FDE"/>
    <w:rsid w:val="00634932"/>
    <w:rsid w:val="00634EC0"/>
    <w:rsid w:val="0063627F"/>
    <w:rsid w:val="006362FE"/>
    <w:rsid w:val="006364D6"/>
    <w:rsid w:val="006370A6"/>
    <w:rsid w:val="00637638"/>
    <w:rsid w:val="00637A76"/>
    <w:rsid w:val="00637CE2"/>
    <w:rsid w:val="00637EE5"/>
    <w:rsid w:val="00640125"/>
    <w:rsid w:val="00640F42"/>
    <w:rsid w:val="006411E4"/>
    <w:rsid w:val="0064140B"/>
    <w:rsid w:val="006419A2"/>
    <w:rsid w:val="0064266A"/>
    <w:rsid w:val="00642ADE"/>
    <w:rsid w:val="00642D72"/>
    <w:rsid w:val="0064303A"/>
    <w:rsid w:val="006431BC"/>
    <w:rsid w:val="00643671"/>
    <w:rsid w:val="00643819"/>
    <w:rsid w:val="00643B4C"/>
    <w:rsid w:val="00643F85"/>
    <w:rsid w:val="006442FD"/>
    <w:rsid w:val="006443CB"/>
    <w:rsid w:val="00644A19"/>
    <w:rsid w:val="00644F80"/>
    <w:rsid w:val="0064532F"/>
    <w:rsid w:val="00645874"/>
    <w:rsid w:val="006466E1"/>
    <w:rsid w:val="006479E0"/>
    <w:rsid w:val="00647A43"/>
    <w:rsid w:val="00647D78"/>
    <w:rsid w:val="00647F7B"/>
    <w:rsid w:val="0065074A"/>
    <w:rsid w:val="00650DD0"/>
    <w:rsid w:val="00650EE4"/>
    <w:rsid w:val="00650F11"/>
    <w:rsid w:val="0065124B"/>
    <w:rsid w:val="00651382"/>
    <w:rsid w:val="006513D3"/>
    <w:rsid w:val="0065171C"/>
    <w:rsid w:val="00651E96"/>
    <w:rsid w:val="006526AA"/>
    <w:rsid w:val="00652AB2"/>
    <w:rsid w:val="00652E99"/>
    <w:rsid w:val="006533F3"/>
    <w:rsid w:val="00653579"/>
    <w:rsid w:val="00653622"/>
    <w:rsid w:val="0065395A"/>
    <w:rsid w:val="00653FE6"/>
    <w:rsid w:val="0065446A"/>
    <w:rsid w:val="00654671"/>
    <w:rsid w:val="00654C11"/>
    <w:rsid w:val="00654EB9"/>
    <w:rsid w:val="006551F6"/>
    <w:rsid w:val="0065552B"/>
    <w:rsid w:val="006558F8"/>
    <w:rsid w:val="00655AC6"/>
    <w:rsid w:val="006561E4"/>
    <w:rsid w:val="006564DF"/>
    <w:rsid w:val="006566ED"/>
    <w:rsid w:val="00656B4B"/>
    <w:rsid w:val="0065746E"/>
    <w:rsid w:val="00657594"/>
    <w:rsid w:val="00657DFC"/>
    <w:rsid w:val="00660024"/>
    <w:rsid w:val="00660B46"/>
    <w:rsid w:val="00660EF1"/>
    <w:rsid w:val="00660F6F"/>
    <w:rsid w:val="006610B6"/>
    <w:rsid w:val="00661918"/>
    <w:rsid w:val="00661C74"/>
    <w:rsid w:val="00661D51"/>
    <w:rsid w:val="00661E1C"/>
    <w:rsid w:val="00661F08"/>
    <w:rsid w:val="00662130"/>
    <w:rsid w:val="00662A5A"/>
    <w:rsid w:val="00662B7E"/>
    <w:rsid w:val="00662F7D"/>
    <w:rsid w:val="0066318E"/>
    <w:rsid w:val="0066356C"/>
    <w:rsid w:val="00663C58"/>
    <w:rsid w:val="00663CEF"/>
    <w:rsid w:val="006641F9"/>
    <w:rsid w:val="00664205"/>
    <w:rsid w:val="00664264"/>
    <w:rsid w:val="00664875"/>
    <w:rsid w:val="006653D7"/>
    <w:rsid w:val="006654DB"/>
    <w:rsid w:val="006654F3"/>
    <w:rsid w:val="006657AE"/>
    <w:rsid w:val="00665F5E"/>
    <w:rsid w:val="00666129"/>
    <w:rsid w:val="006665BA"/>
    <w:rsid w:val="006665FE"/>
    <w:rsid w:val="00666A4F"/>
    <w:rsid w:val="00667106"/>
    <w:rsid w:val="00667111"/>
    <w:rsid w:val="0066748F"/>
    <w:rsid w:val="006703AA"/>
    <w:rsid w:val="006703D9"/>
    <w:rsid w:val="006704B8"/>
    <w:rsid w:val="006704F6"/>
    <w:rsid w:val="006708EA"/>
    <w:rsid w:val="00670932"/>
    <w:rsid w:val="00671091"/>
    <w:rsid w:val="00671524"/>
    <w:rsid w:val="00671AC7"/>
    <w:rsid w:val="00671BCF"/>
    <w:rsid w:val="00672154"/>
    <w:rsid w:val="0067257F"/>
    <w:rsid w:val="0067426D"/>
    <w:rsid w:val="00674321"/>
    <w:rsid w:val="00674701"/>
    <w:rsid w:val="00674713"/>
    <w:rsid w:val="0067472B"/>
    <w:rsid w:val="00675001"/>
    <w:rsid w:val="0067512B"/>
    <w:rsid w:val="00675294"/>
    <w:rsid w:val="0067545E"/>
    <w:rsid w:val="006758D1"/>
    <w:rsid w:val="00675907"/>
    <w:rsid w:val="00675A65"/>
    <w:rsid w:val="00676556"/>
    <w:rsid w:val="00676E43"/>
    <w:rsid w:val="00677435"/>
    <w:rsid w:val="00677571"/>
    <w:rsid w:val="00677682"/>
    <w:rsid w:val="00677C33"/>
    <w:rsid w:val="00680262"/>
    <w:rsid w:val="006803B4"/>
    <w:rsid w:val="00680936"/>
    <w:rsid w:val="00680D8C"/>
    <w:rsid w:val="0068165C"/>
    <w:rsid w:val="006818B4"/>
    <w:rsid w:val="00681C66"/>
    <w:rsid w:val="00681FA8"/>
    <w:rsid w:val="006820E0"/>
    <w:rsid w:val="00682221"/>
    <w:rsid w:val="006826B4"/>
    <w:rsid w:val="00682725"/>
    <w:rsid w:val="00682A97"/>
    <w:rsid w:val="00682AED"/>
    <w:rsid w:val="00682D87"/>
    <w:rsid w:val="006831AD"/>
    <w:rsid w:val="00683502"/>
    <w:rsid w:val="00683641"/>
    <w:rsid w:val="00683A1C"/>
    <w:rsid w:val="00683E86"/>
    <w:rsid w:val="0068413E"/>
    <w:rsid w:val="006841A6"/>
    <w:rsid w:val="00684387"/>
    <w:rsid w:val="006845A2"/>
    <w:rsid w:val="00684C8C"/>
    <w:rsid w:val="00684E97"/>
    <w:rsid w:val="006853A4"/>
    <w:rsid w:val="006856B8"/>
    <w:rsid w:val="006857EE"/>
    <w:rsid w:val="006862B9"/>
    <w:rsid w:val="006864E1"/>
    <w:rsid w:val="00686546"/>
    <w:rsid w:val="00686DB4"/>
    <w:rsid w:val="00686E73"/>
    <w:rsid w:val="006876CE"/>
    <w:rsid w:val="006877FF"/>
    <w:rsid w:val="0068793A"/>
    <w:rsid w:val="00687B34"/>
    <w:rsid w:val="00690781"/>
    <w:rsid w:val="006907A1"/>
    <w:rsid w:val="00690B17"/>
    <w:rsid w:val="00690DDF"/>
    <w:rsid w:val="00691076"/>
    <w:rsid w:val="0069128F"/>
    <w:rsid w:val="00691404"/>
    <w:rsid w:val="00691580"/>
    <w:rsid w:val="006920A6"/>
    <w:rsid w:val="00692582"/>
    <w:rsid w:val="006926E2"/>
    <w:rsid w:val="00692FF6"/>
    <w:rsid w:val="00693154"/>
    <w:rsid w:val="00693652"/>
    <w:rsid w:val="0069377C"/>
    <w:rsid w:val="006939E7"/>
    <w:rsid w:val="006939F2"/>
    <w:rsid w:val="00693D2E"/>
    <w:rsid w:val="00693D3E"/>
    <w:rsid w:val="00693F54"/>
    <w:rsid w:val="006942F7"/>
    <w:rsid w:val="0069438B"/>
    <w:rsid w:val="006949AD"/>
    <w:rsid w:val="00694A91"/>
    <w:rsid w:val="00694AAE"/>
    <w:rsid w:val="00695396"/>
    <w:rsid w:val="006954A0"/>
    <w:rsid w:val="00695528"/>
    <w:rsid w:val="00695620"/>
    <w:rsid w:val="00695659"/>
    <w:rsid w:val="0069591C"/>
    <w:rsid w:val="00695D76"/>
    <w:rsid w:val="00696A0F"/>
    <w:rsid w:val="00696D66"/>
    <w:rsid w:val="006971D2"/>
    <w:rsid w:val="00697669"/>
    <w:rsid w:val="00697AE8"/>
    <w:rsid w:val="00697F01"/>
    <w:rsid w:val="006A023E"/>
    <w:rsid w:val="006A056F"/>
    <w:rsid w:val="006A0C0F"/>
    <w:rsid w:val="006A0F98"/>
    <w:rsid w:val="006A15BA"/>
    <w:rsid w:val="006A1749"/>
    <w:rsid w:val="006A1AAE"/>
    <w:rsid w:val="006A1EEA"/>
    <w:rsid w:val="006A20F5"/>
    <w:rsid w:val="006A2150"/>
    <w:rsid w:val="006A241D"/>
    <w:rsid w:val="006A24EA"/>
    <w:rsid w:val="006A2B0C"/>
    <w:rsid w:val="006A2C61"/>
    <w:rsid w:val="006A3054"/>
    <w:rsid w:val="006A3288"/>
    <w:rsid w:val="006A35A2"/>
    <w:rsid w:val="006A3C54"/>
    <w:rsid w:val="006A43E6"/>
    <w:rsid w:val="006A45B1"/>
    <w:rsid w:val="006A45B5"/>
    <w:rsid w:val="006A4A1E"/>
    <w:rsid w:val="006A4F92"/>
    <w:rsid w:val="006A50C7"/>
    <w:rsid w:val="006A57E5"/>
    <w:rsid w:val="006A5BD3"/>
    <w:rsid w:val="006A5CD5"/>
    <w:rsid w:val="006A5E28"/>
    <w:rsid w:val="006A5E65"/>
    <w:rsid w:val="006A616A"/>
    <w:rsid w:val="006A68C9"/>
    <w:rsid w:val="006A6A3A"/>
    <w:rsid w:val="006A6BBC"/>
    <w:rsid w:val="006A70BE"/>
    <w:rsid w:val="006A717B"/>
    <w:rsid w:val="006A7662"/>
    <w:rsid w:val="006A7BBD"/>
    <w:rsid w:val="006A7F39"/>
    <w:rsid w:val="006B0121"/>
    <w:rsid w:val="006B0128"/>
    <w:rsid w:val="006B0151"/>
    <w:rsid w:val="006B0334"/>
    <w:rsid w:val="006B04CF"/>
    <w:rsid w:val="006B059F"/>
    <w:rsid w:val="006B134D"/>
    <w:rsid w:val="006B1A20"/>
    <w:rsid w:val="006B1B3B"/>
    <w:rsid w:val="006B1C7C"/>
    <w:rsid w:val="006B1EC8"/>
    <w:rsid w:val="006B2136"/>
    <w:rsid w:val="006B2688"/>
    <w:rsid w:val="006B3063"/>
    <w:rsid w:val="006B3086"/>
    <w:rsid w:val="006B34BA"/>
    <w:rsid w:val="006B362F"/>
    <w:rsid w:val="006B3BD8"/>
    <w:rsid w:val="006B3DD0"/>
    <w:rsid w:val="006B43AB"/>
    <w:rsid w:val="006B4547"/>
    <w:rsid w:val="006B4750"/>
    <w:rsid w:val="006B494C"/>
    <w:rsid w:val="006B5752"/>
    <w:rsid w:val="006B590C"/>
    <w:rsid w:val="006B63D8"/>
    <w:rsid w:val="006B6CA8"/>
    <w:rsid w:val="006B6F32"/>
    <w:rsid w:val="006B7092"/>
    <w:rsid w:val="006B7130"/>
    <w:rsid w:val="006B7A80"/>
    <w:rsid w:val="006B7D4A"/>
    <w:rsid w:val="006B7DA9"/>
    <w:rsid w:val="006B7DC1"/>
    <w:rsid w:val="006B7EF5"/>
    <w:rsid w:val="006C025D"/>
    <w:rsid w:val="006C04F5"/>
    <w:rsid w:val="006C0A72"/>
    <w:rsid w:val="006C0A96"/>
    <w:rsid w:val="006C0CF5"/>
    <w:rsid w:val="006C1A5C"/>
    <w:rsid w:val="006C201C"/>
    <w:rsid w:val="006C211C"/>
    <w:rsid w:val="006C24B6"/>
    <w:rsid w:val="006C397B"/>
    <w:rsid w:val="006C400D"/>
    <w:rsid w:val="006C408A"/>
    <w:rsid w:val="006C4150"/>
    <w:rsid w:val="006C4575"/>
    <w:rsid w:val="006C4728"/>
    <w:rsid w:val="006C487A"/>
    <w:rsid w:val="006C507B"/>
    <w:rsid w:val="006C5186"/>
    <w:rsid w:val="006C51DA"/>
    <w:rsid w:val="006C5214"/>
    <w:rsid w:val="006C561D"/>
    <w:rsid w:val="006C5683"/>
    <w:rsid w:val="006C5ADF"/>
    <w:rsid w:val="006C5E33"/>
    <w:rsid w:val="006C5E48"/>
    <w:rsid w:val="006C6163"/>
    <w:rsid w:val="006C6434"/>
    <w:rsid w:val="006C6552"/>
    <w:rsid w:val="006C65CC"/>
    <w:rsid w:val="006C6926"/>
    <w:rsid w:val="006C6B08"/>
    <w:rsid w:val="006C6CD8"/>
    <w:rsid w:val="006C6CF4"/>
    <w:rsid w:val="006C6FF4"/>
    <w:rsid w:val="006D0117"/>
    <w:rsid w:val="006D013F"/>
    <w:rsid w:val="006D017F"/>
    <w:rsid w:val="006D032D"/>
    <w:rsid w:val="006D08DF"/>
    <w:rsid w:val="006D0A14"/>
    <w:rsid w:val="006D0A45"/>
    <w:rsid w:val="006D10BF"/>
    <w:rsid w:val="006D147A"/>
    <w:rsid w:val="006D1D3F"/>
    <w:rsid w:val="006D20B4"/>
    <w:rsid w:val="006D211A"/>
    <w:rsid w:val="006D253B"/>
    <w:rsid w:val="006D2CCC"/>
    <w:rsid w:val="006D395A"/>
    <w:rsid w:val="006D39F3"/>
    <w:rsid w:val="006D3B4A"/>
    <w:rsid w:val="006D3C4F"/>
    <w:rsid w:val="006D4391"/>
    <w:rsid w:val="006D43D1"/>
    <w:rsid w:val="006D44D0"/>
    <w:rsid w:val="006D4B84"/>
    <w:rsid w:val="006D5373"/>
    <w:rsid w:val="006D548C"/>
    <w:rsid w:val="006D5625"/>
    <w:rsid w:val="006D57CB"/>
    <w:rsid w:val="006D5A82"/>
    <w:rsid w:val="006D5D92"/>
    <w:rsid w:val="006D60EE"/>
    <w:rsid w:val="006D6CDD"/>
    <w:rsid w:val="006D6DB3"/>
    <w:rsid w:val="006D6F13"/>
    <w:rsid w:val="006D700B"/>
    <w:rsid w:val="006D719D"/>
    <w:rsid w:val="006D7444"/>
    <w:rsid w:val="006D7BA6"/>
    <w:rsid w:val="006D7F3E"/>
    <w:rsid w:val="006E044C"/>
    <w:rsid w:val="006E0A61"/>
    <w:rsid w:val="006E0AF6"/>
    <w:rsid w:val="006E0CE2"/>
    <w:rsid w:val="006E2251"/>
    <w:rsid w:val="006E36D4"/>
    <w:rsid w:val="006E3711"/>
    <w:rsid w:val="006E3992"/>
    <w:rsid w:val="006E3AAD"/>
    <w:rsid w:val="006E3B0D"/>
    <w:rsid w:val="006E4118"/>
    <w:rsid w:val="006E4238"/>
    <w:rsid w:val="006E447A"/>
    <w:rsid w:val="006E44E5"/>
    <w:rsid w:val="006E44FF"/>
    <w:rsid w:val="006E4560"/>
    <w:rsid w:val="006E474E"/>
    <w:rsid w:val="006E481A"/>
    <w:rsid w:val="006E5068"/>
    <w:rsid w:val="006E665F"/>
    <w:rsid w:val="006E6948"/>
    <w:rsid w:val="006E720E"/>
    <w:rsid w:val="006E7310"/>
    <w:rsid w:val="006E7426"/>
    <w:rsid w:val="006E780B"/>
    <w:rsid w:val="006E7B25"/>
    <w:rsid w:val="006E7B97"/>
    <w:rsid w:val="006E7C1C"/>
    <w:rsid w:val="006E7CF8"/>
    <w:rsid w:val="006E7D23"/>
    <w:rsid w:val="006E7EEF"/>
    <w:rsid w:val="006F01F8"/>
    <w:rsid w:val="006F05FD"/>
    <w:rsid w:val="006F063E"/>
    <w:rsid w:val="006F0B83"/>
    <w:rsid w:val="006F15F3"/>
    <w:rsid w:val="006F1BBB"/>
    <w:rsid w:val="006F2173"/>
    <w:rsid w:val="006F2318"/>
    <w:rsid w:val="006F2550"/>
    <w:rsid w:val="006F2CA3"/>
    <w:rsid w:val="006F2F26"/>
    <w:rsid w:val="006F32BE"/>
    <w:rsid w:val="006F3B10"/>
    <w:rsid w:val="006F3EA8"/>
    <w:rsid w:val="006F41E7"/>
    <w:rsid w:val="006F4645"/>
    <w:rsid w:val="006F4740"/>
    <w:rsid w:val="006F49A7"/>
    <w:rsid w:val="006F4ACD"/>
    <w:rsid w:val="006F568F"/>
    <w:rsid w:val="006F5862"/>
    <w:rsid w:val="006F588A"/>
    <w:rsid w:val="006F58F8"/>
    <w:rsid w:val="006F6144"/>
    <w:rsid w:val="006F6798"/>
    <w:rsid w:val="006F68AB"/>
    <w:rsid w:val="006F6BA3"/>
    <w:rsid w:val="006F6D4C"/>
    <w:rsid w:val="006F6D66"/>
    <w:rsid w:val="006F6E67"/>
    <w:rsid w:val="006F7157"/>
    <w:rsid w:val="006F7645"/>
    <w:rsid w:val="006F78E0"/>
    <w:rsid w:val="006F7FE0"/>
    <w:rsid w:val="0070032D"/>
    <w:rsid w:val="00700423"/>
    <w:rsid w:val="00701590"/>
    <w:rsid w:val="007015A2"/>
    <w:rsid w:val="00701AE8"/>
    <w:rsid w:val="00701CF4"/>
    <w:rsid w:val="00702150"/>
    <w:rsid w:val="0070231E"/>
    <w:rsid w:val="00702B1B"/>
    <w:rsid w:val="00702C43"/>
    <w:rsid w:val="00702CFE"/>
    <w:rsid w:val="00703026"/>
    <w:rsid w:val="00703947"/>
    <w:rsid w:val="0070395E"/>
    <w:rsid w:val="00703C2B"/>
    <w:rsid w:val="00703C76"/>
    <w:rsid w:val="00703E61"/>
    <w:rsid w:val="00704164"/>
    <w:rsid w:val="0070430C"/>
    <w:rsid w:val="00704473"/>
    <w:rsid w:val="0070457A"/>
    <w:rsid w:val="00704730"/>
    <w:rsid w:val="00704E3D"/>
    <w:rsid w:val="00705031"/>
    <w:rsid w:val="0070508A"/>
    <w:rsid w:val="00705134"/>
    <w:rsid w:val="0070537D"/>
    <w:rsid w:val="007053D4"/>
    <w:rsid w:val="00705931"/>
    <w:rsid w:val="00706277"/>
    <w:rsid w:val="00706514"/>
    <w:rsid w:val="00706A58"/>
    <w:rsid w:val="00707228"/>
    <w:rsid w:val="007075DD"/>
    <w:rsid w:val="007110E1"/>
    <w:rsid w:val="00711774"/>
    <w:rsid w:val="00711CFE"/>
    <w:rsid w:val="00711E3C"/>
    <w:rsid w:val="0071262B"/>
    <w:rsid w:val="0071266C"/>
    <w:rsid w:val="007127F4"/>
    <w:rsid w:val="00712AF8"/>
    <w:rsid w:val="00712CB6"/>
    <w:rsid w:val="00712E98"/>
    <w:rsid w:val="00713400"/>
    <w:rsid w:val="007134AF"/>
    <w:rsid w:val="00713662"/>
    <w:rsid w:val="0071394E"/>
    <w:rsid w:val="007139C3"/>
    <w:rsid w:val="00714394"/>
    <w:rsid w:val="007143BC"/>
    <w:rsid w:val="00714AAD"/>
    <w:rsid w:val="00714B6D"/>
    <w:rsid w:val="007150B9"/>
    <w:rsid w:val="00715AAC"/>
    <w:rsid w:val="00715F8F"/>
    <w:rsid w:val="007160F0"/>
    <w:rsid w:val="007163F8"/>
    <w:rsid w:val="00716AB6"/>
    <w:rsid w:val="00716B9D"/>
    <w:rsid w:val="00716CFA"/>
    <w:rsid w:val="00716D40"/>
    <w:rsid w:val="00716FC7"/>
    <w:rsid w:val="0071727A"/>
    <w:rsid w:val="0071729C"/>
    <w:rsid w:val="00717418"/>
    <w:rsid w:val="007204DB"/>
    <w:rsid w:val="00720815"/>
    <w:rsid w:val="00720A60"/>
    <w:rsid w:val="00720E0B"/>
    <w:rsid w:val="007210F5"/>
    <w:rsid w:val="007211C3"/>
    <w:rsid w:val="00721282"/>
    <w:rsid w:val="007212CD"/>
    <w:rsid w:val="0072190F"/>
    <w:rsid w:val="00721946"/>
    <w:rsid w:val="00721986"/>
    <w:rsid w:val="00721F7E"/>
    <w:rsid w:val="00722324"/>
    <w:rsid w:val="0072238C"/>
    <w:rsid w:val="007225B1"/>
    <w:rsid w:val="00722E29"/>
    <w:rsid w:val="00723273"/>
    <w:rsid w:val="00723377"/>
    <w:rsid w:val="00723690"/>
    <w:rsid w:val="007238C5"/>
    <w:rsid w:val="00724348"/>
    <w:rsid w:val="00724606"/>
    <w:rsid w:val="00724E85"/>
    <w:rsid w:val="007252D3"/>
    <w:rsid w:val="00725318"/>
    <w:rsid w:val="0072574E"/>
    <w:rsid w:val="00725860"/>
    <w:rsid w:val="007258B6"/>
    <w:rsid w:val="00725FAE"/>
    <w:rsid w:val="007266DD"/>
    <w:rsid w:val="0072671E"/>
    <w:rsid w:val="00726815"/>
    <w:rsid w:val="00726B00"/>
    <w:rsid w:val="00726B1B"/>
    <w:rsid w:val="00726D0F"/>
    <w:rsid w:val="00726DA7"/>
    <w:rsid w:val="00727152"/>
    <w:rsid w:val="00727583"/>
    <w:rsid w:val="007279E3"/>
    <w:rsid w:val="00727C5F"/>
    <w:rsid w:val="00727DAC"/>
    <w:rsid w:val="00727DDC"/>
    <w:rsid w:val="00730073"/>
    <w:rsid w:val="00730DAF"/>
    <w:rsid w:val="00730F89"/>
    <w:rsid w:val="00731296"/>
    <w:rsid w:val="00731542"/>
    <w:rsid w:val="0073161B"/>
    <w:rsid w:val="007319F7"/>
    <w:rsid w:val="00732E20"/>
    <w:rsid w:val="00733025"/>
    <w:rsid w:val="00733094"/>
    <w:rsid w:val="007334DC"/>
    <w:rsid w:val="00733B19"/>
    <w:rsid w:val="00733BA3"/>
    <w:rsid w:val="007343BB"/>
    <w:rsid w:val="00734887"/>
    <w:rsid w:val="00734994"/>
    <w:rsid w:val="007349C0"/>
    <w:rsid w:val="007361B1"/>
    <w:rsid w:val="007362FB"/>
    <w:rsid w:val="0073642E"/>
    <w:rsid w:val="00736578"/>
    <w:rsid w:val="007365B6"/>
    <w:rsid w:val="007367D8"/>
    <w:rsid w:val="00736824"/>
    <w:rsid w:val="00736960"/>
    <w:rsid w:val="00736966"/>
    <w:rsid w:val="007369F7"/>
    <w:rsid w:val="00736B84"/>
    <w:rsid w:val="00736BBD"/>
    <w:rsid w:val="00737049"/>
    <w:rsid w:val="007377F2"/>
    <w:rsid w:val="00737EBD"/>
    <w:rsid w:val="007400C5"/>
    <w:rsid w:val="007401E2"/>
    <w:rsid w:val="0074077D"/>
    <w:rsid w:val="0074081A"/>
    <w:rsid w:val="00740B49"/>
    <w:rsid w:val="00740D8C"/>
    <w:rsid w:val="00740E33"/>
    <w:rsid w:val="00741163"/>
    <w:rsid w:val="007411E5"/>
    <w:rsid w:val="00741268"/>
    <w:rsid w:val="0074234E"/>
    <w:rsid w:val="0074260F"/>
    <w:rsid w:val="00742F8A"/>
    <w:rsid w:val="007431CD"/>
    <w:rsid w:val="007434B1"/>
    <w:rsid w:val="007435A0"/>
    <w:rsid w:val="007443C2"/>
    <w:rsid w:val="007447A4"/>
    <w:rsid w:val="00744FA3"/>
    <w:rsid w:val="00745BCD"/>
    <w:rsid w:val="007467B8"/>
    <w:rsid w:val="00746951"/>
    <w:rsid w:val="0074722C"/>
    <w:rsid w:val="0074791E"/>
    <w:rsid w:val="00747B2E"/>
    <w:rsid w:val="00747D28"/>
    <w:rsid w:val="0075001A"/>
    <w:rsid w:val="00750376"/>
    <w:rsid w:val="0075047D"/>
    <w:rsid w:val="00750904"/>
    <w:rsid w:val="00750A08"/>
    <w:rsid w:val="00750A66"/>
    <w:rsid w:val="00750B28"/>
    <w:rsid w:val="00750D30"/>
    <w:rsid w:val="00750E3B"/>
    <w:rsid w:val="0075115D"/>
    <w:rsid w:val="007512CA"/>
    <w:rsid w:val="007514A4"/>
    <w:rsid w:val="00751984"/>
    <w:rsid w:val="00751995"/>
    <w:rsid w:val="007524D7"/>
    <w:rsid w:val="007525FF"/>
    <w:rsid w:val="0075283C"/>
    <w:rsid w:val="00752BB7"/>
    <w:rsid w:val="00753069"/>
    <w:rsid w:val="0075381D"/>
    <w:rsid w:val="00753890"/>
    <w:rsid w:val="00753A02"/>
    <w:rsid w:val="00753B7D"/>
    <w:rsid w:val="00754EEC"/>
    <w:rsid w:val="0075500C"/>
    <w:rsid w:val="0075501A"/>
    <w:rsid w:val="00755283"/>
    <w:rsid w:val="007555DF"/>
    <w:rsid w:val="00755818"/>
    <w:rsid w:val="00755B12"/>
    <w:rsid w:val="00755D21"/>
    <w:rsid w:val="00755E75"/>
    <w:rsid w:val="007565B5"/>
    <w:rsid w:val="00756C14"/>
    <w:rsid w:val="0076001F"/>
    <w:rsid w:val="0076063F"/>
    <w:rsid w:val="00760C40"/>
    <w:rsid w:val="00760F74"/>
    <w:rsid w:val="00761434"/>
    <w:rsid w:val="0076150F"/>
    <w:rsid w:val="00761721"/>
    <w:rsid w:val="007618EF"/>
    <w:rsid w:val="00761A82"/>
    <w:rsid w:val="00761FD5"/>
    <w:rsid w:val="00762065"/>
    <w:rsid w:val="007624BB"/>
    <w:rsid w:val="00762725"/>
    <w:rsid w:val="007627E6"/>
    <w:rsid w:val="00763DB6"/>
    <w:rsid w:val="007643D1"/>
    <w:rsid w:val="00764B49"/>
    <w:rsid w:val="00764F70"/>
    <w:rsid w:val="00765714"/>
    <w:rsid w:val="00765CC3"/>
    <w:rsid w:val="00765DD8"/>
    <w:rsid w:val="00766122"/>
    <w:rsid w:val="007666DD"/>
    <w:rsid w:val="007669D3"/>
    <w:rsid w:val="00766D36"/>
    <w:rsid w:val="007673C6"/>
    <w:rsid w:val="007674A1"/>
    <w:rsid w:val="00767607"/>
    <w:rsid w:val="007677D5"/>
    <w:rsid w:val="00767E47"/>
    <w:rsid w:val="007703BF"/>
    <w:rsid w:val="007708E3"/>
    <w:rsid w:val="007709CB"/>
    <w:rsid w:val="00770A23"/>
    <w:rsid w:val="0077103A"/>
    <w:rsid w:val="0077158D"/>
    <w:rsid w:val="0077165F"/>
    <w:rsid w:val="00771972"/>
    <w:rsid w:val="00771B64"/>
    <w:rsid w:val="00772138"/>
    <w:rsid w:val="00772FA4"/>
    <w:rsid w:val="00773503"/>
    <w:rsid w:val="007735C4"/>
    <w:rsid w:val="00773874"/>
    <w:rsid w:val="0077477A"/>
    <w:rsid w:val="007747A9"/>
    <w:rsid w:val="00774EB9"/>
    <w:rsid w:val="00774FDC"/>
    <w:rsid w:val="00775048"/>
    <w:rsid w:val="00775273"/>
    <w:rsid w:val="0077555B"/>
    <w:rsid w:val="00775716"/>
    <w:rsid w:val="00775861"/>
    <w:rsid w:val="00775952"/>
    <w:rsid w:val="00775B52"/>
    <w:rsid w:val="00775EED"/>
    <w:rsid w:val="0077648B"/>
    <w:rsid w:val="007765DF"/>
    <w:rsid w:val="0077695E"/>
    <w:rsid w:val="00776AD1"/>
    <w:rsid w:val="007770B9"/>
    <w:rsid w:val="0078008D"/>
    <w:rsid w:val="007801D0"/>
    <w:rsid w:val="00780661"/>
    <w:rsid w:val="00780A4F"/>
    <w:rsid w:val="00780D88"/>
    <w:rsid w:val="00780F42"/>
    <w:rsid w:val="0078126C"/>
    <w:rsid w:val="007814DD"/>
    <w:rsid w:val="00781934"/>
    <w:rsid w:val="0078195C"/>
    <w:rsid w:val="00781AD1"/>
    <w:rsid w:val="00782A0B"/>
    <w:rsid w:val="007833C7"/>
    <w:rsid w:val="007835FB"/>
    <w:rsid w:val="00783B85"/>
    <w:rsid w:val="00783BB9"/>
    <w:rsid w:val="007840F3"/>
    <w:rsid w:val="00784121"/>
    <w:rsid w:val="007841CC"/>
    <w:rsid w:val="007842A0"/>
    <w:rsid w:val="00784315"/>
    <w:rsid w:val="00784B64"/>
    <w:rsid w:val="00784D55"/>
    <w:rsid w:val="0078518E"/>
    <w:rsid w:val="00785491"/>
    <w:rsid w:val="007858C0"/>
    <w:rsid w:val="00785D1C"/>
    <w:rsid w:val="00786187"/>
    <w:rsid w:val="007861EB"/>
    <w:rsid w:val="007863BB"/>
    <w:rsid w:val="0078665C"/>
    <w:rsid w:val="0078679A"/>
    <w:rsid w:val="00786E65"/>
    <w:rsid w:val="0078707F"/>
    <w:rsid w:val="0078731C"/>
    <w:rsid w:val="00787678"/>
    <w:rsid w:val="0078781B"/>
    <w:rsid w:val="00787ACB"/>
    <w:rsid w:val="00790739"/>
    <w:rsid w:val="00790DFB"/>
    <w:rsid w:val="00791B10"/>
    <w:rsid w:val="0079218E"/>
    <w:rsid w:val="00792447"/>
    <w:rsid w:val="00792659"/>
    <w:rsid w:val="00792679"/>
    <w:rsid w:val="0079270E"/>
    <w:rsid w:val="00792855"/>
    <w:rsid w:val="007937CB"/>
    <w:rsid w:val="00793BEA"/>
    <w:rsid w:val="007942D0"/>
    <w:rsid w:val="00794A05"/>
    <w:rsid w:val="00794F1A"/>
    <w:rsid w:val="007951C6"/>
    <w:rsid w:val="007954A5"/>
    <w:rsid w:val="00795782"/>
    <w:rsid w:val="007957C7"/>
    <w:rsid w:val="007957FE"/>
    <w:rsid w:val="00795908"/>
    <w:rsid w:val="00795B64"/>
    <w:rsid w:val="00795B83"/>
    <w:rsid w:val="0079694C"/>
    <w:rsid w:val="00796CBE"/>
    <w:rsid w:val="00796DBD"/>
    <w:rsid w:val="0079726A"/>
    <w:rsid w:val="00797EA5"/>
    <w:rsid w:val="00797FAD"/>
    <w:rsid w:val="007A0271"/>
    <w:rsid w:val="007A04F9"/>
    <w:rsid w:val="007A0AF5"/>
    <w:rsid w:val="007A1A4E"/>
    <w:rsid w:val="007A354D"/>
    <w:rsid w:val="007A38D8"/>
    <w:rsid w:val="007A3D59"/>
    <w:rsid w:val="007A428F"/>
    <w:rsid w:val="007A4676"/>
    <w:rsid w:val="007A4C77"/>
    <w:rsid w:val="007A4E17"/>
    <w:rsid w:val="007A520F"/>
    <w:rsid w:val="007A56E3"/>
    <w:rsid w:val="007A5922"/>
    <w:rsid w:val="007A5AF4"/>
    <w:rsid w:val="007A5D44"/>
    <w:rsid w:val="007A641B"/>
    <w:rsid w:val="007A660D"/>
    <w:rsid w:val="007A68DC"/>
    <w:rsid w:val="007A6C94"/>
    <w:rsid w:val="007A6D0D"/>
    <w:rsid w:val="007A6EFF"/>
    <w:rsid w:val="007A790F"/>
    <w:rsid w:val="007A7F6D"/>
    <w:rsid w:val="007B0FBD"/>
    <w:rsid w:val="007B172E"/>
    <w:rsid w:val="007B1BAF"/>
    <w:rsid w:val="007B1E34"/>
    <w:rsid w:val="007B2245"/>
    <w:rsid w:val="007B2317"/>
    <w:rsid w:val="007B27B5"/>
    <w:rsid w:val="007B27D7"/>
    <w:rsid w:val="007B2896"/>
    <w:rsid w:val="007B2CDD"/>
    <w:rsid w:val="007B2D8B"/>
    <w:rsid w:val="007B2EFE"/>
    <w:rsid w:val="007B3154"/>
    <w:rsid w:val="007B35F7"/>
    <w:rsid w:val="007B379B"/>
    <w:rsid w:val="007B3948"/>
    <w:rsid w:val="007B3B4C"/>
    <w:rsid w:val="007B3DE0"/>
    <w:rsid w:val="007B41D6"/>
    <w:rsid w:val="007B4695"/>
    <w:rsid w:val="007B4831"/>
    <w:rsid w:val="007B4DC2"/>
    <w:rsid w:val="007B4F72"/>
    <w:rsid w:val="007B527E"/>
    <w:rsid w:val="007B5445"/>
    <w:rsid w:val="007B5C63"/>
    <w:rsid w:val="007B6896"/>
    <w:rsid w:val="007B6AAE"/>
    <w:rsid w:val="007B6EF4"/>
    <w:rsid w:val="007B7764"/>
    <w:rsid w:val="007B79F5"/>
    <w:rsid w:val="007B7BE9"/>
    <w:rsid w:val="007C04D4"/>
    <w:rsid w:val="007C0A01"/>
    <w:rsid w:val="007C0B60"/>
    <w:rsid w:val="007C0C9A"/>
    <w:rsid w:val="007C0E04"/>
    <w:rsid w:val="007C0EA1"/>
    <w:rsid w:val="007C123B"/>
    <w:rsid w:val="007C13DF"/>
    <w:rsid w:val="007C21F1"/>
    <w:rsid w:val="007C2827"/>
    <w:rsid w:val="007C2B1F"/>
    <w:rsid w:val="007C30E0"/>
    <w:rsid w:val="007C3224"/>
    <w:rsid w:val="007C32E9"/>
    <w:rsid w:val="007C344C"/>
    <w:rsid w:val="007C3813"/>
    <w:rsid w:val="007C3858"/>
    <w:rsid w:val="007C39AF"/>
    <w:rsid w:val="007C39ED"/>
    <w:rsid w:val="007C3A26"/>
    <w:rsid w:val="007C40FE"/>
    <w:rsid w:val="007C41F0"/>
    <w:rsid w:val="007C4228"/>
    <w:rsid w:val="007C42C0"/>
    <w:rsid w:val="007C5029"/>
    <w:rsid w:val="007C543F"/>
    <w:rsid w:val="007C5EE3"/>
    <w:rsid w:val="007C6DD2"/>
    <w:rsid w:val="007C6E85"/>
    <w:rsid w:val="007C6F36"/>
    <w:rsid w:val="007C70A7"/>
    <w:rsid w:val="007C73B0"/>
    <w:rsid w:val="007C74E5"/>
    <w:rsid w:val="007C76FB"/>
    <w:rsid w:val="007D060B"/>
    <w:rsid w:val="007D0E43"/>
    <w:rsid w:val="007D13E7"/>
    <w:rsid w:val="007D1991"/>
    <w:rsid w:val="007D1A22"/>
    <w:rsid w:val="007D1A4E"/>
    <w:rsid w:val="007D1E37"/>
    <w:rsid w:val="007D2037"/>
    <w:rsid w:val="007D232F"/>
    <w:rsid w:val="007D2385"/>
    <w:rsid w:val="007D2821"/>
    <w:rsid w:val="007D2BB5"/>
    <w:rsid w:val="007D2E2D"/>
    <w:rsid w:val="007D3D9D"/>
    <w:rsid w:val="007D3DC7"/>
    <w:rsid w:val="007D4220"/>
    <w:rsid w:val="007D48B3"/>
    <w:rsid w:val="007D4985"/>
    <w:rsid w:val="007D52CA"/>
    <w:rsid w:val="007D563E"/>
    <w:rsid w:val="007D577F"/>
    <w:rsid w:val="007D5B51"/>
    <w:rsid w:val="007D5F71"/>
    <w:rsid w:val="007D5FC1"/>
    <w:rsid w:val="007D7071"/>
    <w:rsid w:val="007D715A"/>
    <w:rsid w:val="007D740C"/>
    <w:rsid w:val="007E0153"/>
    <w:rsid w:val="007E08BE"/>
    <w:rsid w:val="007E0DFE"/>
    <w:rsid w:val="007E0E9E"/>
    <w:rsid w:val="007E10A9"/>
    <w:rsid w:val="007E1681"/>
    <w:rsid w:val="007E17B3"/>
    <w:rsid w:val="007E19DC"/>
    <w:rsid w:val="007E1BA5"/>
    <w:rsid w:val="007E218C"/>
    <w:rsid w:val="007E21FB"/>
    <w:rsid w:val="007E2347"/>
    <w:rsid w:val="007E2675"/>
    <w:rsid w:val="007E26A8"/>
    <w:rsid w:val="007E26BB"/>
    <w:rsid w:val="007E2E3F"/>
    <w:rsid w:val="007E3283"/>
    <w:rsid w:val="007E329D"/>
    <w:rsid w:val="007E32F4"/>
    <w:rsid w:val="007E39BF"/>
    <w:rsid w:val="007E39E7"/>
    <w:rsid w:val="007E420B"/>
    <w:rsid w:val="007E4381"/>
    <w:rsid w:val="007E47AA"/>
    <w:rsid w:val="007E47D2"/>
    <w:rsid w:val="007E4927"/>
    <w:rsid w:val="007E4932"/>
    <w:rsid w:val="007E49D4"/>
    <w:rsid w:val="007E502C"/>
    <w:rsid w:val="007E55B0"/>
    <w:rsid w:val="007E598A"/>
    <w:rsid w:val="007E5A74"/>
    <w:rsid w:val="007E5BD7"/>
    <w:rsid w:val="007E6023"/>
    <w:rsid w:val="007E740B"/>
    <w:rsid w:val="007E75F0"/>
    <w:rsid w:val="007E77A9"/>
    <w:rsid w:val="007E7968"/>
    <w:rsid w:val="007E7A47"/>
    <w:rsid w:val="007F013A"/>
    <w:rsid w:val="007F040B"/>
    <w:rsid w:val="007F067A"/>
    <w:rsid w:val="007F0691"/>
    <w:rsid w:val="007F088F"/>
    <w:rsid w:val="007F1FB0"/>
    <w:rsid w:val="007F212B"/>
    <w:rsid w:val="007F2488"/>
    <w:rsid w:val="007F2D90"/>
    <w:rsid w:val="007F3190"/>
    <w:rsid w:val="007F4211"/>
    <w:rsid w:val="007F4F51"/>
    <w:rsid w:val="007F4F82"/>
    <w:rsid w:val="007F53A5"/>
    <w:rsid w:val="007F54DB"/>
    <w:rsid w:val="007F5FC7"/>
    <w:rsid w:val="007F6736"/>
    <w:rsid w:val="007F6A9A"/>
    <w:rsid w:val="007F6B93"/>
    <w:rsid w:val="007F6B9F"/>
    <w:rsid w:val="007F701B"/>
    <w:rsid w:val="007F709F"/>
    <w:rsid w:val="007F712B"/>
    <w:rsid w:val="007F73DA"/>
    <w:rsid w:val="007F77D5"/>
    <w:rsid w:val="007F78FA"/>
    <w:rsid w:val="0080042A"/>
    <w:rsid w:val="008008F3"/>
    <w:rsid w:val="0080096B"/>
    <w:rsid w:val="008009C8"/>
    <w:rsid w:val="00801050"/>
    <w:rsid w:val="00801373"/>
    <w:rsid w:val="008013D6"/>
    <w:rsid w:val="008014FC"/>
    <w:rsid w:val="00801804"/>
    <w:rsid w:val="00801B3E"/>
    <w:rsid w:val="00801CA0"/>
    <w:rsid w:val="00801EEA"/>
    <w:rsid w:val="0080221D"/>
    <w:rsid w:val="00802493"/>
    <w:rsid w:val="00802785"/>
    <w:rsid w:val="0080280C"/>
    <w:rsid w:val="00802D6D"/>
    <w:rsid w:val="0080378F"/>
    <w:rsid w:val="008039FE"/>
    <w:rsid w:val="008041D5"/>
    <w:rsid w:val="00804653"/>
    <w:rsid w:val="00804A2E"/>
    <w:rsid w:val="0080514A"/>
    <w:rsid w:val="00805178"/>
    <w:rsid w:val="00805337"/>
    <w:rsid w:val="008054F6"/>
    <w:rsid w:val="00805D26"/>
    <w:rsid w:val="00805D36"/>
    <w:rsid w:val="00806336"/>
    <w:rsid w:val="008066F8"/>
    <w:rsid w:val="00806A84"/>
    <w:rsid w:val="00806F66"/>
    <w:rsid w:val="008073D2"/>
    <w:rsid w:val="0080750E"/>
    <w:rsid w:val="00807C6C"/>
    <w:rsid w:val="0081034B"/>
    <w:rsid w:val="0081035F"/>
    <w:rsid w:val="00810C67"/>
    <w:rsid w:val="008112CE"/>
    <w:rsid w:val="00811F8C"/>
    <w:rsid w:val="0081243E"/>
    <w:rsid w:val="00812531"/>
    <w:rsid w:val="00812B10"/>
    <w:rsid w:val="00812BC0"/>
    <w:rsid w:val="00812F11"/>
    <w:rsid w:val="00813278"/>
    <w:rsid w:val="00813385"/>
    <w:rsid w:val="0081340B"/>
    <w:rsid w:val="00813869"/>
    <w:rsid w:val="0081393C"/>
    <w:rsid w:val="00813D52"/>
    <w:rsid w:val="00813DA5"/>
    <w:rsid w:val="00813E59"/>
    <w:rsid w:val="008143D8"/>
    <w:rsid w:val="00814626"/>
    <w:rsid w:val="00814C53"/>
    <w:rsid w:val="00814DAF"/>
    <w:rsid w:val="00815400"/>
    <w:rsid w:val="00815DA1"/>
    <w:rsid w:val="00816273"/>
    <w:rsid w:val="0081628A"/>
    <w:rsid w:val="00816304"/>
    <w:rsid w:val="0081632F"/>
    <w:rsid w:val="00816703"/>
    <w:rsid w:val="00816BD8"/>
    <w:rsid w:val="00816C39"/>
    <w:rsid w:val="00816E37"/>
    <w:rsid w:val="00817BB4"/>
    <w:rsid w:val="00817E89"/>
    <w:rsid w:val="00817E9F"/>
    <w:rsid w:val="008202F5"/>
    <w:rsid w:val="00821021"/>
    <w:rsid w:val="008214BB"/>
    <w:rsid w:val="00821609"/>
    <w:rsid w:val="00821A5B"/>
    <w:rsid w:val="00821B58"/>
    <w:rsid w:val="00821C0C"/>
    <w:rsid w:val="0082201B"/>
    <w:rsid w:val="0082202C"/>
    <w:rsid w:val="0082210E"/>
    <w:rsid w:val="00822117"/>
    <w:rsid w:val="008225E3"/>
    <w:rsid w:val="00822922"/>
    <w:rsid w:val="00822D06"/>
    <w:rsid w:val="00822D4E"/>
    <w:rsid w:val="00823329"/>
    <w:rsid w:val="00823822"/>
    <w:rsid w:val="00823A49"/>
    <w:rsid w:val="00823B4E"/>
    <w:rsid w:val="00823CEC"/>
    <w:rsid w:val="00824478"/>
    <w:rsid w:val="00824594"/>
    <w:rsid w:val="0082460C"/>
    <w:rsid w:val="008249B0"/>
    <w:rsid w:val="008249F9"/>
    <w:rsid w:val="00824A07"/>
    <w:rsid w:val="00824A1D"/>
    <w:rsid w:val="00824AE3"/>
    <w:rsid w:val="0082529F"/>
    <w:rsid w:val="00825367"/>
    <w:rsid w:val="00825BF1"/>
    <w:rsid w:val="0082606C"/>
    <w:rsid w:val="00826071"/>
    <w:rsid w:val="0082679B"/>
    <w:rsid w:val="008268A1"/>
    <w:rsid w:val="00826AC0"/>
    <w:rsid w:val="00826CD4"/>
    <w:rsid w:val="00826D8D"/>
    <w:rsid w:val="00826F17"/>
    <w:rsid w:val="00826F4C"/>
    <w:rsid w:val="00827183"/>
    <w:rsid w:val="0082722A"/>
    <w:rsid w:val="00827797"/>
    <w:rsid w:val="00827B01"/>
    <w:rsid w:val="00830847"/>
    <w:rsid w:val="0083135D"/>
    <w:rsid w:val="00831536"/>
    <w:rsid w:val="008319BD"/>
    <w:rsid w:val="0083226E"/>
    <w:rsid w:val="00833014"/>
    <w:rsid w:val="00833970"/>
    <w:rsid w:val="00833FBB"/>
    <w:rsid w:val="008340BF"/>
    <w:rsid w:val="008342EA"/>
    <w:rsid w:val="00834846"/>
    <w:rsid w:val="00834A99"/>
    <w:rsid w:val="00834BCA"/>
    <w:rsid w:val="00834D0E"/>
    <w:rsid w:val="00834F10"/>
    <w:rsid w:val="008350BD"/>
    <w:rsid w:val="00835237"/>
    <w:rsid w:val="0083544C"/>
    <w:rsid w:val="008356E1"/>
    <w:rsid w:val="00836243"/>
    <w:rsid w:val="00836281"/>
    <w:rsid w:val="00836A4D"/>
    <w:rsid w:val="00836E45"/>
    <w:rsid w:val="00836F94"/>
    <w:rsid w:val="0083737F"/>
    <w:rsid w:val="00837699"/>
    <w:rsid w:val="008377DA"/>
    <w:rsid w:val="00837FEE"/>
    <w:rsid w:val="008405FF"/>
    <w:rsid w:val="0084069B"/>
    <w:rsid w:val="008409B9"/>
    <w:rsid w:val="00840AFF"/>
    <w:rsid w:val="00840FBF"/>
    <w:rsid w:val="00841252"/>
    <w:rsid w:val="00841C1C"/>
    <w:rsid w:val="00841D50"/>
    <w:rsid w:val="00842053"/>
    <w:rsid w:val="00842A25"/>
    <w:rsid w:val="00842B42"/>
    <w:rsid w:val="00843122"/>
    <w:rsid w:val="008431C3"/>
    <w:rsid w:val="00843427"/>
    <w:rsid w:val="00843842"/>
    <w:rsid w:val="0084389C"/>
    <w:rsid w:val="00843D17"/>
    <w:rsid w:val="00843FCE"/>
    <w:rsid w:val="0084459B"/>
    <w:rsid w:val="008448DD"/>
    <w:rsid w:val="00844D06"/>
    <w:rsid w:val="00844EC9"/>
    <w:rsid w:val="00845811"/>
    <w:rsid w:val="00845A15"/>
    <w:rsid w:val="0084632F"/>
    <w:rsid w:val="008468F8"/>
    <w:rsid w:val="00846B53"/>
    <w:rsid w:val="0084708B"/>
    <w:rsid w:val="00847121"/>
    <w:rsid w:val="00847309"/>
    <w:rsid w:val="0084765F"/>
    <w:rsid w:val="00847998"/>
    <w:rsid w:val="00847C0D"/>
    <w:rsid w:val="00847C2B"/>
    <w:rsid w:val="00847DA7"/>
    <w:rsid w:val="00850C0F"/>
    <w:rsid w:val="00850EF7"/>
    <w:rsid w:val="0085106A"/>
    <w:rsid w:val="00851F2B"/>
    <w:rsid w:val="00851FFB"/>
    <w:rsid w:val="008523F6"/>
    <w:rsid w:val="00852A1F"/>
    <w:rsid w:val="00853C37"/>
    <w:rsid w:val="00853F10"/>
    <w:rsid w:val="00853F6C"/>
    <w:rsid w:val="008541E3"/>
    <w:rsid w:val="0085468B"/>
    <w:rsid w:val="00854EA0"/>
    <w:rsid w:val="008552FC"/>
    <w:rsid w:val="0085538A"/>
    <w:rsid w:val="00855423"/>
    <w:rsid w:val="008556B3"/>
    <w:rsid w:val="00855767"/>
    <w:rsid w:val="00855785"/>
    <w:rsid w:val="00855B06"/>
    <w:rsid w:val="008561BB"/>
    <w:rsid w:val="008565AA"/>
    <w:rsid w:val="00856CC4"/>
    <w:rsid w:val="008575F9"/>
    <w:rsid w:val="0085792C"/>
    <w:rsid w:val="00857936"/>
    <w:rsid w:val="00857D29"/>
    <w:rsid w:val="00857E25"/>
    <w:rsid w:val="00860071"/>
    <w:rsid w:val="00860A30"/>
    <w:rsid w:val="0086100E"/>
    <w:rsid w:val="0086138B"/>
    <w:rsid w:val="00861747"/>
    <w:rsid w:val="00861B5B"/>
    <w:rsid w:val="00861B6C"/>
    <w:rsid w:val="00862095"/>
    <w:rsid w:val="0086214C"/>
    <w:rsid w:val="008623D5"/>
    <w:rsid w:val="008629A8"/>
    <w:rsid w:val="00862ACF"/>
    <w:rsid w:val="00863089"/>
    <w:rsid w:val="00863198"/>
    <w:rsid w:val="00863544"/>
    <w:rsid w:val="00863B3D"/>
    <w:rsid w:val="008640B5"/>
    <w:rsid w:val="00864C32"/>
    <w:rsid w:val="00864C9F"/>
    <w:rsid w:val="00864D55"/>
    <w:rsid w:val="0086513A"/>
    <w:rsid w:val="00865199"/>
    <w:rsid w:val="00865426"/>
    <w:rsid w:val="008655BA"/>
    <w:rsid w:val="008658C0"/>
    <w:rsid w:val="008659F0"/>
    <w:rsid w:val="00865DB6"/>
    <w:rsid w:val="00865F44"/>
    <w:rsid w:val="0086605D"/>
    <w:rsid w:val="00866572"/>
    <w:rsid w:val="00866630"/>
    <w:rsid w:val="008679BC"/>
    <w:rsid w:val="008679DC"/>
    <w:rsid w:val="00870272"/>
    <w:rsid w:val="008706AE"/>
    <w:rsid w:val="00870C09"/>
    <w:rsid w:val="00870CB6"/>
    <w:rsid w:val="00870D76"/>
    <w:rsid w:val="00871421"/>
    <w:rsid w:val="00871499"/>
    <w:rsid w:val="008719AC"/>
    <w:rsid w:val="00871DC7"/>
    <w:rsid w:val="0087270F"/>
    <w:rsid w:val="00872882"/>
    <w:rsid w:val="00872B66"/>
    <w:rsid w:val="008734F5"/>
    <w:rsid w:val="0087367B"/>
    <w:rsid w:val="00873AC8"/>
    <w:rsid w:val="00873C4E"/>
    <w:rsid w:val="00873C51"/>
    <w:rsid w:val="00873C8C"/>
    <w:rsid w:val="00873CED"/>
    <w:rsid w:val="00873D3D"/>
    <w:rsid w:val="00873FEA"/>
    <w:rsid w:val="0087419B"/>
    <w:rsid w:val="00874232"/>
    <w:rsid w:val="008743DF"/>
    <w:rsid w:val="00874592"/>
    <w:rsid w:val="0087469C"/>
    <w:rsid w:val="0087475F"/>
    <w:rsid w:val="00874E59"/>
    <w:rsid w:val="00875113"/>
    <w:rsid w:val="0087516A"/>
    <w:rsid w:val="00875679"/>
    <w:rsid w:val="00875ADE"/>
    <w:rsid w:val="00875CE5"/>
    <w:rsid w:val="00875E1F"/>
    <w:rsid w:val="00875E91"/>
    <w:rsid w:val="008777A6"/>
    <w:rsid w:val="008778FD"/>
    <w:rsid w:val="00877C0D"/>
    <w:rsid w:val="00877C43"/>
    <w:rsid w:val="0088028E"/>
    <w:rsid w:val="00880702"/>
    <w:rsid w:val="008807EE"/>
    <w:rsid w:val="00880A96"/>
    <w:rsid w:val="008810EE"/>
    <w:rsid w:val="008816F0"/>
    <w:rsid w:val="008818F6"/>
    <w:rsid w:val="00881D88"/>
    <w:rsid w:val="00881FFE"/>
    <w:rsid w:val="00882EC4"/>
    <w:rsid w:val="00882F6D"/>
    <w:rsid w:val="00883059"/>
    <w:rsid w:val="008833BB"/>
    <w:rsid w:val="0088398E"/>
    <w:rsid w:val="008842F2"/>
    <w:rsid w:val="008844D7"/>
    <w:rsid w:val="00884526"/>
    <w:rsid w:val="00884B9F"/>
    <w:rsid w:val="00885BEA"/>
    <w:rsid w:val="00885C12"/>
    <w:rsid w:val="00885C52"/>
    <w:rsid w:val="008864AD"/>
    <w:rsid w:val="00886AC5"/>
    <w:rsid w:val="00887705"/>
    <w:rsid w:val="00887887"/>
    <w:rsid w:val="00887AA0"/>
    <w:rsid w:val="00887E02"/>
    <w:rsid w:val="00890220"/>
    <w:rsid w:val="00890237"/>
    <w:rsid w:val="00890535"/>
    <w:rsid w:val="00890698"/>
    <w:rsid w:val="008907B0"/>
    <w:rsid w:val="008909F3"/>
    <w:rsid w:val="00891E92"/>
    <w:rsid w:val="00892580"/>
    <w:rsid w:val="00892ADF"/>
    <w:rsid w:val="0089305C"/>
    <w:rsid w:val="00893263"/>
    <w:rsid w:val="008933A7"/>
    <w:rsid w:val="00893479"/>
    <w:rsid w:val="008934F3"/>
    <w:rsid w:val="008936E7"/>
    <w:rsid w:val="00893BB3"/>
    <w:rsid w:val="00893EC7"/>
    <w:rsid w:val="00893F73"/>
    <w:rsid w:val="0089429A"/>
    <w:rsid w:val="008943CB"/>
    <w:rsid w:val="0089442A"/>
    <w:rsid w:val="00894A90"/>
    <w:rsid w:val="00894B87"/>
    <w:rsid w:val="00894EAA"/>
    <w:rsid w:val="00894FC1"/>
    <w:rsid w:val="00895FCB"/>
    <w:rsid w:val="00896291"/>
    <w:rsid w:val="00896A98"/>
    <w:rsid w:val="0089729F"/>
    <w:rsid w:val="008977CD"/>
    <w:rsid w:val="00897E03"/>
    <w:rsid w:val="00897E9E"/>
    <w:rsid w:val="00897F77"/>
    <w:rsid w:val="008A05BB"/>
    <w:rsid w:val="008A05E0"/>
    <w:rsid w:val="008A1186"/>
    <w:rsid w:val="008A1517"/>
    <w:rsid w:val="008A198D"/>
    <w:rsid w:val="008A1C47"/>
    <w:rsid w:val="008A212A"/>
    <w:rsid w:val="008A34BF"/>
    <w:rsid w:val="008A35E7"/>
    <w:rsid w:val="008A37DD"/>
    <w:rsid w:val="008A3CFB"/>
    <w:rsid w:val="008A4CBF"/>
    <w:rsid w:val="008A4D7E"/>
    <w:rsid w:val="008A5290"/>
    <w:rsid w:val="008A5549"/>
    <w:rsid w:val="008A593A"/>
    <w:rsid w:val="008A59F8"/>
    <w:rsid w:val="008A5A27"/>
    <w:rsid w:val="008A6B82"/>
    <w:rsid w:val="008A6C2C"/>
    <w:rsid w:val="008A6C5A"/>
    <w:rsid w:val="008A775D"/>
    <w:rsid w:val="008A777A"/>
    <w:rsid w:val="008A7D1D"/>
    <w:rsid w:val="008B0061"/>
    <w:rsid w:val="008B073F"/>
    <w:rsid w:val="008B0EAD"/>
    <w:rsid w:val="008B102C"/>
    <w:rsid w:val="008B1311"/>
    <w:rsid w:val="008B1718"/>
    <w:rsid w:val="008B17AA"/>
    <w:rsid w:val="008B18C6"/>
    <w:rsid w:val="008B190C"/>
    <w:rsid w:val="008B1E83"/>
    <w:rsid w:val="008B1EF5"/>
    <w:rsid w:val="008B1EF9"/>
    <w:rsid w:val="008B20A4"/>
    <w:rsid w:val="008B219A"/>
    <w:rsid w:val="008B2483"/>
    <w:rsid w:val="008B2537"/>
    <w:rsid w:val="008B27A3"/>
    <w:rsid w:val="008B2C9C"/>
    <w:rsid w:val="008B2DF3"/>
    <w:rsid w:val="008B2E4C"/>
    <w:rsid w:val="008B3013"/>
    <w:rsid w:val="008B32BC"/>
    <w:rsid w:val="008B349C"/>
    <w:rsid w:val="008B3531"/>
    <w:rsid w:val="008B376A"/>
    <w:rsid w:val="008B38AD"/>
    <w:rsid w:val="008B39FD"/>
    <w:rsid w:val="008B3F57"/>
    <w:rsid w:val="008B4969"/>
    <w:rsid w:val="008B4F9D"/>
    <w:rsid w:val="008B5660"/>
    <w:rsid w:val="008B6488"/>
    <w:rsid w:val="008B6576"/>
    <w:rsid w:val="008B6CDC"/>
    <w:rsid w:val="008B7220"/>
    <w:rsid w:val="008B75D5"/>
    <w:rsid w:val="008B78BE"/>
    <w:rsid w:val="008B78D8"/>
    <w:rsid w:val="008B7BAA"/>
    <w:rsid w:val="008C00CA"/>
    <w:rsid w:val="008C0246"/>
    <w:rsid w:val="008C031A"/>
    <w:rsid w:val="008C05F4"/>
    <w:rsid w:val="008C08A5"/>
    <w:rsid w:val="008C1349"/>
    <w:rsid w:val="008C144D"/>
    <w:rsid w:val="008C1678"/>
    <w:rsid w:val="008C1856"/>
    <w:rsid w:val="008C219E"/>
    <w:rsid w:val="008C2F3D"/>
    <w:rsid w:val="008C31A3"/>
    <w:rsid w:val="008C347E"/>
    <w:rsid w:val="008C384A"/>
    <w:rsid w:val="008C44D9"/>
    <w:rsid w:val="008C4510"/>
    <w:rsid w:val="008C479C"/>
    <w:rsid w:val="008C47B4"/>
    <w:rsid w:val="008C4D4B"/>
    <w:rsid w:val="008C4E14"/>
    <w:rsid w:val="008C4EDA"/>
    <w:rsid w:val="008C4EDF"/>
    <w:rsid w:val="008C4F75"/>
    <w:rsid w:val="008C5380"/>
    <w:rsid w:val="008C543B"/>
    <w:rsid w:val="008C55A4"/>
    <w:rsid w:val="008C5BFF"/>
    <w:rsid w:val="008C5C97"/>
    <w:rsid w:val="008C64E3"/>
    <w:rsid w:val="008C64EF"/>
    <w:rsid w:val="008C668A"/>
    <w:rsid w:val="008C7217"/>
    <w:rsid w:val="008C725D"/>
    <w:rsid w:val="008C7337"/>
    <w:rsid w:val="008C7741"/>
    <w:rsid w:val="008C7883"/>
    <w:rsid w:val="008C78F9"/>
    <w:rsid w:val="008C7B5C"/>
    <w:rsid w:val="008C7F11"/>
    <w:rsid w:val="008C7F68"/>
    <w:rsid w:val="008D007F"/>
    <w:rsid w:val="008D044B"/>
    <w:rsid w:val="008D0611"/>
    <w:rsid w:val="008D0D1E"/>
    <w:rsid w:val="008D10E6"/>
    <w:rsid w:val="008D110C"/>
    <w:rsid w:val="008D119E"/>
    <w:rsid w:val="008D1B47"/>
    <w:rsid w:val="008D1E79"/>
    <w:rsid w:val="008D2207"/>
    <w:rsid w:val="008D29A6"/>
    <w:rsid w:val="008D3064"/>
    <w:rsid w:val="008D32AF"/>
    <w:rsid w:val="008D345F"/>
    <w:rsid w:val="008D35E0"/>
    <w:rsid w:val="008D3735"/>
    <w:rsid w:val="008D393A"/>
    <w:rsid w:val="008D3C16"/>
    <w:rsid w:val="008D49A4"/>
    <w:rsid w:val="008D5693"/>
    <w:rsid w:val="008D5884"/>
    <w:rsid w:val="008D5904"/>
    <w:rsid w:val="008D592A"/>
    <w:rsid w:val="008D5BAA"/>
    <w:rsid w:val="008D6ECF"/>
    <w:rsid w:val="008D72D4"/>
    <w:rsid w:val="008D75F0"/>
    <w:rsid w:val="008D776F"/>
    <w:rsid w:val="008D7A19"/>
    <w:rsid w:val="008D7E13"/>
    <w:rsid w:val="008E016A"/>
    <w:rsid w:val="008E02FD"/>
    <w:rsid w:val="008E034A"/>
    <w:rsid w:val="008E06C4"/>
    <w:rsid w:val="008E08F0"/>
    <w:rsid w:val="008E1068"/>
    <w:rsid w:val="008E18A0"/>
    <w:rsid w:val="008E1AB4"/>
    <w:rsid w:val="008E1CC0"/>
    <w:rsid w:val="008E1E54"/>
    <w:rsid w:val="008E2AA2"/>
    <w:rsid w:val="008E2BE4"/>
    <w:rsid w:val="008E3596"/>
    <w:rsid w:val="008E3732"/>
    <w:rsid w:val="008E3921"/>
    <w:rsid w:val="008E3B7C"/>
    <w:rsid w:val="008E3C88"/>
    <w:rsid w:val="008E43B5"/>
    <w:rsid w:val="008E47E0"/>
    <w:rsid w:val="008E4880"/>
    <w:rsid w:val="008E48A2"/>
    <w:rsid w:val="008E5643"/>
    <w:rsid w:val="008E5A8C"/>
    <w:rsid w:val="008E5DA4"/>
    <w:rsid w:val="008E6C1B"/>
    <w:rsid w:val="008E7211"/>
    <w:rsid w:val="008E73BC"/>
    <w:rsid w:val="008E7558"/>
    <w:rsid w:val="008E7679"/>
    <w:rsid w:val="008E78F2"/>
    <w:rsid w:val="008E792D"/>
    <w:rsid w:val="008F0055"/>
    <w:rsid w:val="008F022C"/>
    <w:rsid w:val="008F089A"/>
    <w:rsid w:val="008F0AB5"/>
    <w:rsid w:val="008F0E05"/>
    <w:rsid w:val="008F0E9C"/>
    <w:rsid w:val="008F12B1"/>
    <w:rsid w:val="008F141E"/>
    <w:rsid w:val="008F1521"/>
    <w:rsid w:val="008F1F09"/>
    <w:rsid w:val="008F2838"/>
    <w:rsid w:val="008F4588"/>
    <w:rsid w:val="008F55DF"/>
    <w:rsid w:val="008F55EB"/>
    <w:rsid w:val="008F56CB"/>
    <w:rsid w:val="008F5988"/>
    <w:rsid w:val="008F6667"/>
    <w:rsid w:val="008F6794"/>
    <w:rsid w:val="008F7295"/>
    <w:rsid w:val="008F75EB"/>
    <w:rsid w:val="008F783D"/>
    <w:rsid w:val="008F7853"/>
    <w:rsid w:val="008F7AA3"/>
    <w:rsid w:val="008F7D9B"/>
    <w:rsid w:val="0090002C"/>
    <w:rsid w:val="009003DD"/>
    <w:rsid w:val="009003DE"/>
    <w:rsid w:val="009003EA"/>
    <w:rsid w:val="009005B7"/>
    <w:rsid w:val="00900BA5"/>
    <w:rsid w:val="00900C7B"/>
    <w:rsid w:val="00901569"/>
    <w:rsid w:val="00902560"/>
    <w:rsid w:val="009026C3"/>
    <w:rsid w:val="00902929"/>
    <w:rsid w:val="00902EC7"/>
    <w:rsid w:val="0090318C"/>
    <w:rsid w:val="00903488"/>
    <w:rsid w:val="00903FE5"/>
    <w:rsid w:val="00904084"/>
    <w:rsid w:val="00904425"/>
    <w:rsid w:val="00904795"/>
    <w:rsid w:val="009049FD"/>
    <w:rsid w:val="00904AA8"/>
    <w:rsid w:val="00904F05"/>
    <w:rsid w:val="00904FB5"/>
    <w:rsid w:val="00905021"/>
    <w:rsid w:val="0090587F"/>
    <w:rsid w:val="00905D12"/>
    <w:rsid w:val="00905DD1"/>
    <w:rsid w:val="00905FE5"/>
    <w:rsid w:val="0090647A"/>
    <w:rsid w:val="00906619"/>
    <w:rsid w:val="00906A71"/>
    <w:rsid w:val="00906F35"/>
    <w:rsid w:val="0090727F"/>
    <w:rsid w:val="009075A0"/>
    <w:rsid w:val="00907955"/>
    <w:rsid w:val="0090799A"/>
    <w:rsid w:val="00907B8B"/>
    <w:rsid w:val="00907F11"/>
    <w:rsid w:val="00910809"/>
    <w:rsid w:val="009115BA"/>
    <w:rsid w:val="0091270C"/>
    <w:rsid w:val="00912DE0"/>
    <w:rsid w:val="00913421"/>
    <w:rsid w:val="00913652"/>
    <w:rsid w:val="00913921"/>
    <w:rsid w:val="009139F7"/>
    <w:rsid w:val="009140D4"/>
    <w:rsid w:val="00914316"/>
    <w:rsid w:val="0091481B"/>
    <w:rsid w:val="00914825"/>
    <w:rsid w:val="00915246"/>
    <w:rsid w:val="009154F6"/>
    <w:rsid w:val="009158A4"/>
    <w:rsid w:val="00915B81"/>
    <w:rsid w:val="00916A15"/>
    <w:rsid w:val="00916E58"/>
    <w:rsid w:val="00916EB9"/>
    <w:rsid w:val="00916F7B"/>
    <w:rsid w:val="00916FE3"/>
    <w:rsid w:val="00917380"/>
    <w:rsid w:val="00917433"/>
    <w:rsid w:val="00917887"/>
    <w:rsid w:val="00917E45"/>
    <w:rsid w:val="009206B2"/>
    <w:rsid w:val="009207DB"/>
    <w:rsid w:val="009218B6"/>
    <w:rsid w:val="00922024"/>
    <w:rsid w:val="0092225F"/>
    <w:rsid w:val="00922AF6"/>
    <w:rsid w:val="00922FE4"/>
    <w:rsid w:val="00923275"/>
    <w:rsid w:val="0092353A"/>
    <w:rsid w:val="00923FEF"/>
    <w:rsid w:val="009244A4"/>
    <w:rsid w:val="00924627"/>
    <w:rsid w:val="009246F6"/>
    <w:rsid w:val="00924B93"/>
    <w:rsid w:val="00924BF3"/>
    <w:rsid w:val="00924E99"/>
    <w:rsid w:val="00924EED"/>
    <w:rsid w:val="009254AC"/>
    <w:rsid w:val="00925501"/>
    <w:rsid w:val="00925C4F"/>
    <w:rsid w:val="00925C8C"/>
    <w:rsid w:val="00925E32"/>
    <w:rsid w:val="00926301"/>
    <w:rsid w:val="00926580"/>
    <w:rsid w:val="00926982"/>
    <w:rsid w:val="00926BC8"/>
    <w:rsid w:val="00926BF2"/>
    <w:rsid w:val="00926C5C"/>
    <w:rsid w:val="009270C4"/>
    <w:rsid w:val="009270DF"/>
    <w:rsid w:val="00927D39"/>
    <w:rsid w:val="00930C08"/>
    <w:rsid w:val="00930F71"/>
    <w:rsid w:val="00931B25"/>
    <w:rsid w:val="00931C34"/>
    <w:rsid w:val="0093200A"/>
    <w:rsid w:val="00932196"/>
    <w:rsid w:val="0093226D"/>
    <w:rsid w:val="00932459"/>
    <w:rsid w:val="00932752"/>
    <w:rsid w:val="00932B16"/>
    <w:rsid w:val="00932E25"/>
    <w:rsid w:val="00932FE6"/>
    <w:rsid w:val="00933252"/>
    <w:rsid w:val="00933AD8"/>
    <w:rsid w:val="00933F8E"/>
    <w:rsid w:val="0093412A"/>
    <w:rsid w:val="00934AA1"/>
    <w:rsid w:val="00934FA8"/>
    <w:rsid w:val="009353A5"/>
    <w:rsid w:val="00935434"/>
    <w:rsid w:val="00935C35"/>
    <w:rsid w:val="00936535"/>
    <w:rsid w:val="0093740F"/>
    <w:rsid w:val="00937B4A"/>
    <w:rsid w:val="00937C1D"/>
    <w:rsid w:val="00937DC2"/>
    <w:rsid w:val="00937F9B"/>
    <w:rsid w:val="0094028A"/>
    <w:rsid w:val="009405AC"/>
    <w:rsid w:val="009405DB"/>
    <w:rsid w:val="00940995"/>
    <w:rsid w:val="00940A7B"/>
    <w:rsid w:val="00940CD3"/>
    <w:rsid w:val="00940DED"/>
    <w:rsid w:val="00940F58"/>
    <w:rsid w:val="00940FC3"/>
    <w:rsid w:val="00941140"/>
    <w:rsid w:val="0094131D"/>
    <w:rsid w:val="0094185C"/>
    <w:rsid w:val="00941C49"/>
    <w:rsid w:val="00942120"/>
    <w:rsid w:val="00942316"/>
    <w:rsid w:val="009425F7"/>
    <w:rsid w:val="00942A91"/>
    <w:rsid w:val="00942DF7"/>
    <w:rsid w:val="00942F09"/>
    <w:rsid w:val="00942FE3"/>
    <w:rsid w:val="009437F6"/>
    <w:rsid w:val="00943DD5"/>
    <w:rsid w:val="00944637"/>
    <w:rsid w:val="00944A15"/>
    <w:rsid w:val="00944BC7"/>
    <w:rsid w:val="00944BF0"/>
    <w:rsid w:val="00945072"/>
    <w:rsid w:val="009450E6"/>
    <w:rsid w:val="00945FFF"/>
    <w:rsid w:val="00946136"/>
    <w:rsid w:val="00946208"/>
    <w:rsid w:val="00946807"/>
    <w:rsid w:val="00946A2F"/>
    <w:rsid w:val="00946D70"/>
    <w:rsid w:val="00947241"/>
    <w:rsid w:val="0094776D"/>
    <w:rsid w:val="00947B25"/>
    <w:rsid w:val="00947F94"/>
    <w:rsid w:val="00950230"/>
    <w:rsid w:val="00950B62"/>
    <w:rsid w:val="00950BB7"/>
    <w:rsid w:val="009512B1"/>
    <w:rsid w:val="009512F4"/>
    <w:rsid w:val="009519C6"/>
    <w:rsid w:val="00951A3E"/>
    <w:rsid w:val="00951FA8"/>
    <w:rsid w:val="00951FD8"/>
    <w:rsid w:val="009525F2"/>
    <w:rsid w:val="0095348B"/>
    <w:rsid w:val="00953BA0"/>
    <w:rsid w:val="00953BB4"/>
    <w:rsid w:val="00954282"/>
    <w:rsid w:val="00954427"/>
    <w:rsid w:val="0095453C"/>
    <w:rsid w:val="0095467D"/>
    <w:rsid w:val="00954E74"/>
    <w:rsid w:val="00954FD6"/>
    <w:rsid w:val="00955150"/>
    <w:rsid w:val="009555AB"/>
    <w:rsid w:val="00955C45"/>
    <w:rsid w:val="009562BF"/>
    <w:rsid w:val="00956BBB"/>
    <w:rsid w:val="009570C1"/>
    <w:rsid w:val="009575F4"/>
    <w:rsid w:val="00957A1B"/>
    <w:rsid w:val="009601D4"/>
    <w:rsid w:val="0096064F"/>
    <w:rsid w:val="009607DA"/>
    <w:rsid w:val="009614B2"/>
    <w:rsid w:val="00961505"/>
    <w:rsid w:val="009618F2"/>
    <w:rsid w:val="00961B3E"/>
    <w:rsid w:val="00961E14"/>
    <w:rsid w:val="0096205F"/>
    <w:rsid w:val="00962EE2"/>
    <w:rsid w:val="0096323E"/>
    <w:rsid w:val="00963285"/>
    <w:rsid w:val="009634B3"/>
    <w:rsid w:val="0096387D"/>
    <w:rsid w:val="00963B1C"/>
    <w:rsid w:val="00963B6B"/>
    <w:rsid w:val="00963B77"/>
    <w:rsid w:val="0096475C"/>
    <w:rsid w:val="00964924"/>
    <w:rsid w:val="00964BAD"/>
    <w:rsid w:val="00964C19"/>
    <w:rsid w:val="00964D06"/>
    <w:rsid w:val="00965161"/>
    <w:rsid w:val="00965401"/>
    <w:rsid w:val="00965D46"/>
    <w:rsid w:val="00965D84"/>
    <w:rsid w:val="00965E37"/>
    <w:rsid w:val="00965F51"/>
    <w:rsid w:val="0096646C"/>
    <w:rsid w:val="009666AA"/>
    <w:rsid w:val="009666FE"/>
    <w:rsid w:val="00966ABE"/>
    <w:rsid w:val="00966E16"/>
    <w:rsid w:val="0096797D"/>
    <w:rsid w:val="00967C2F"/>
    <w:rsid w:val="00967F76"/>
    <w:rsid w:val="00970294"/>
    <w:rsid w:val="0097036B"/>
    <w:rsid w:val="00970F27"/>
    <w:rsid w:val="009710C3"/>
    <w:rsid w:val="009713DD"/>
    <w:rsid w:val="00971647"/>
    <w:rsid w:val="00971C53"/>
    <w:rsid w:val="009721D3"/>
    <w:rsid w:val="00972347"/>
    <w:rsid w:val="009725F2"/>
    <w:rsid w:val="0097265B"/>
    <w:rsid w:val="00972DC6"/>
    <w:rsid w:val="00972F2E"/>
    <w:rsid w:val="0097311D"/>
    <w:rsid w:val="00973179"/>
    <w:rsid w:val="00973C04"/>
    <w:rsid w:val="00973F4F"/>
    <w:rsid w:val="00974105"/>
    <w:rsid w:val="00974795"/>
    <w:rsid w:val="0097549B"/>
    <w:rsid w:val="00975C75"/>
    <w:rsid w:val="009761B8"/>
    <w:rsid w:val="009761BB"/>
    <w:rsid w:val="00976390"/>
    <w:rsid w:val="00976582"/>
    <w:rsid w:val="0097766C"/>
    <w:rsid w:val="00977BCA"/>
    <w:rsid w:val="00977CA3"/>
    <w:rsid w:val="00977F9B"/>
    <w:rsid w:val="0098026C"/>
    <w:rsid w:val="0098052F"/>
    <w:rsid w:val="009805FB"/>
    <w:rsid w:val="0098177A"/>
    <w:rsid w:val="00983183"/>
    <w:rsid w:val="009833A5"/>
    <w:rsid w:val="00983A3C"/>
    <w:rsid w:val="00983CE9"/>
    <w:rsid w:val="00983EFD"/>
    <w:rsid w:val="00984A8A"/>
    <w:rsid w:val="00985360"/>
    <w:rsid w:val="00985855"/>
    <w:rsid w:val="00985D58"/>
    <w:rsid w:val="00985DFA"/>
    <w:rsid w:val="00986257"/>
    <w:rsid w:val="00986348"/>
    <w:rsid w:val="0098643B"/>
    <w:rsid w:val="00986861"/>
    <w:rsid w:val="009868C9"/>
    <w:rsid w:val="009868E0"/>
    <w:rsid w:val="0098766B"/>
    <w:rsid w:val="00987BF5"/>
    <w:rsid w:val="00987C35"/>
    <w:rsid w:val="00987CBC"/>
    <w:rsid w:val="00987E3D"/>
    <w:rsid w:val="00987FE7"/>
    <w:rsid w:val="00990519"/>
    <w:rsid w:val="00990609"/>
    <w:rsid w:val="00990904"/>
    <w:rsid w:val="00990AAE"/>
    <w:rsid w:val="00990DB9"/>
    <w:rsid w:val="00991487"/>
    <w:rsid w:val="00991706"/>
    <w:rsid w:val="009917E6"/>
    <w:rsid w:val="00992022"/>
    <w:rsid w:val="009924B9"/>
    <w:rsid w:val="009925AC"/>
    <w:rsid w:val="009925E2"/>
    <w:rsid w:val="00992815"/>
    <w:rsid w:val="009928D3"/>
    <w:rsid w:val="00992935"/>
    <w:rsid w:val="00992E3D"/>
    <w:rsid w:val="0099301E"/>
    <w:rsid w:val="00993070"/>
    <w:rsid w:val="009936DB"/>
    <w:rsid w:val="00993FFC"/>
    <w:rsid w:val="0099408F"/>
    <w:rsid w:val="009943CA"/>
    <w:rsid w:val="00994EA1"/>
    <w:rsid w:val="00995141"/>
    <w:rsid w:val="009956E2"/>
    <w:rsid w:val="0099589D"/>
    <w:rsid w:val="00995E04"/>
    <w:rsid w:val="009961D6"/>
    <w:rsid w:val="00996326"/>
    <w:rsid w:val="00996349"/>
    <w:rsid w:val="00996415"/>
    <w:rsid w:val="00996546"/>
    <w:rsid w:val="009966A8"/>
    <w:rsid w:val="009969AB"/>
    <w:rsid w:val="00996C6A"/>
    <w:rsid w:val="0099723F"/>
    <w:rsid w:val="00997798"/>
    <w:rsid w:val="009978A9"/>
    <w:rsid w:val="00997C99"/>
    <w:rsid w:val="00997F98"/>
    <w:rsid w:val="009A007F"/>
    <w:rsid w:val="009A00E3"/>
    <w:rsid w:val="009A011D"/>
    <w:rsid w:val="009A038E"/>
    <w:rsid w:val="009A09B4"/>
    <w:rsid w:val="009A0A12"/>
    <w:rsid w:val="009A1138"/>
    <w:rsid w:val="009A1347"/>
    <w:rsid w:val="009A1C9E"/>
    <w:rsid w:val="009A1CD8"/>
    <w:rsid w:val="009A1CE8"/>
    <w:rsid w:val="009A1CF6"/>
    <w:rsid w:val="009A2838"/>
    <w:rsid w:val="009A299F"/>
    <w:rsid w:val="009A2EFF"/>
    <w:rsid w:val="009A2FDF"/>
    <w:rsid w:val="009A327E"/>
    <w:rsid w:val="009A3567"/>
    <w:rsid w:val="009A38E3"/>
    <w:rsid w:val="009A4205"/>
    <w:rsid w:val="009A44E8"/>
    <w:rsid w:val="009A453A"/>
    <w:rsid w:val="009A4654"/>
    <w:rsid w:val="009A4999"/>
    <w:rsid w:val="009A4A0D"/>
    <w:rsid w:val="009A4F69"/>
    <w:rsid w:val="009A5234"/>
    <w:rsid w:val="009A5703"/>
    <w:rsid w:val="009A5868"/>
    <w:rsid w:val="009A5B4A"/>
    <w:rsid w:val="009A5F6E"/>
    <w:rsid w:val="009A5FA4"/>
    <w:rsid w:val="009A602D"/>
    <w:rsid w:val="009A61FF"/>
    <w:rsid w:val="009A63B3"/>
    <w:rsid w:val="009A6FDE"/>
    <w:rsid w:val="009A74CB"/>
    <w:rsid w:val="009A775A"/>
    <w:rsid w:val="009A7A01"/>
    <w:rsid w:val="009A7C99"/>
    <w:rsid w:val="009A7CC2"/>
    <w:rsid w:val="009B0638"/>
    <w:rsid w:val="009B0DF6"/>
    <w:rsid w:val="009B0FAA"/>
    <w:rsid w:val="009B112A"/>
    <w:rsid w:val="009B1570"/>
    <w:rsid w:val="009B1D07"/>
    <w:rsid w:val="009B1DA5"/>
    <w:rsid w:val="009B223A"/>
    <w:rsid w:val="009B2453"/>
    <w:rsid w:val="009B28FD"/>
    <w:rsid w:val="009B2925"/>
    <w:rsid w:val="009B2AD6"/>
    <w:rsid w:val="009B2B64"/>
    <w:rsid w:val="009B3161"/>
    <w:rsid w:val="009B34B9"/>
    <w:rsid w:val="009B34D2"/>
    <w:rsid w:val="009B34F6"/>
    <w:rsid w:val="009B35D6"/>
    <w:rsid w:val="009B4BDC"/>
    <w:rsid w:val="009B4FBD"/>
    <w:rsid w:val="009B5241"/>
    <w:rsid w:val="009B5594"/>
    <w:rsid w:val="009B57DF"/>
    <w:rsid w:val="009B5879"/>
    <w:rsid w:val="009B5A37"/>
    <w:rsid w:val="009B64FA"/>
    <w:rsid w:val="009B6792"/>
    <w:rsid w:val="009B6837"/>
    <w:rsid w:val="009B7144"/>
    <w:rsid w:val="009B7198"/>
    <w:rsid w:val="009B729E"/>
    <w:rsid w:val="009B7498"/>
    <w:rsid w:val="009B74A2"/>
    <w:rsid w:val="009B74BB"/>
    <w:rsid w:val="009B75CB"/>
    <w:rsid w:val="009B7658"/>
    <w:rsid w:val="009B79FA"/>
    <w:rsid w:val="009B7ED4"/>
    <w:rsid w:val="009C00D6"/>
    <w:rsid w:val="009C067A"/>
    <w:rsid w:val="009C0741"/>
    <w:rsid w:val="009C0CB4"/>
    <w:rsid w:val="009C0EF9"/>
    <w:rsid w:val="009C104A"/>
    <w:rsid w:val="009C142F"/>
    <w:rsid w:val="009C178B"/>
    <w:rsid w:val="009C17E8"/>
    <w:rsid w:val="009C1CED"/>
    <w:rsid w:val="009C21B2"/>
    <w:rsid w:val="009C221F"/>
    <w:rsid w:val="009C27F8"/>
    <w:rsid w:val="009C34CB"/>
    <w:rsid w:val="009C3600"/>
    <w:rsid w:val="009C3BFC"/>
    <w:rsid w:val="009C3D84"/>
    <w:rsid w:val="009C411A"/>
    <w:rsid w:val="009C4228"/>
    <w:rsid w:val="009C42B4"/>
    <w:rsid w:val="009C443A"/>
    <w:rsid w:val="009C469D"/>
    <w:rsid w:val="009C50B7"/>
    <w:rsid w:val="009C51B3"/>
    <w:rsid w:val="009C52F6"/>
    <w:rsid w:val="009C5923"/>
    <w:rsid w:val="009C598C"/>
    <w:rsid w:val="009C6283"/>
    <w:rsid w:val="009C6967"/>
    <w:rsid w:val="009C6981"/>
    <w:rsid w:val="009C7773"/>
    <w:rsid w:val="009C79FD"/>
    <w:rsid w:val="009C7A50"/>
    <w:rsid w:val="009C7B1D"/>
    <w:rsid w:val="009C7CD7"/>
    <w:rsid w:val="009C7F5A"/>
    <w:rsid w:val="009D03F1"/>
    <w:rsid w:val="009D0A08"/>
    <w:rsid w:val="009D12B2"/>
    <w:rsid w:val="009D13D2"/>
    <w:rsid w:val="009D1A8B"/>
    <w:rsid w:val="009D1CF4"/>
    <w:rsid w:val="009D23C1"/>
    <w:rsid w:val="009D2DA7"/>
    <w:rsid w:val="009D2E19"/>
    <w:rsid w:val="009D2E2B"/>
    <w:rsid w:val="009D3305"/>
    <w:rsid w:val="009D3528"/>
    <w:rsid w:val="009D380F"/>
    <w:rsid w:val="009D3C8D"/>
    <w:rsid w:val="009D402B"/>
    <w:rsid w:val="009D49AF"/>
    <w:rsid w:val="009D4AC6"/>
    <w:rsid w:val="009D5001"/>
    <w:rsid w:val="009D57A7"/>
    <w:rsid w:val="009D5A1E"/>
    <w:rsid w:val="009D6EAE"/>
    <w:rsid w:val="009D7353"/>
    <w:rsid w:val="009D77C9"/>
    <w:rsid w:val="009D79A0"/>
    <w:rsid w:val="009D79E5"/>
    <w:rsid w:val="009D7CC2"/>
    <w:rsid w:val="009D7D14"/>
    <w:rsid w:val="009D7D70"/>
    <w:rsid w:val="009E0410"/>
    <w:rsid w:val="009E044A"/>
    <w:rsid w:val="009E04A5"/>
    <w:rsid w:val="009E0B59"/>
    <w:rsid w:val="009E0BFF"/>
    <w:rsid w:val="009E0D95"/>
    <w:rsid w:val="009E1125"/>
    <w:rsid w:val="009E13FA"/>
    <w:rsid w:val="009E1607"/>
    <w:rsid w:val="009E1AD6"/>
    <w:rsid w:val="009E2543"/>
    <w:rsid w:val="009E2E06"/>
    <w:rsid w:val="009E2E5A"/>
    <w:rsid w:val="009E33D1"/>
    <w:rsid w:val="009E4459"/>
    <w:rsid w:val="009E466E"/>
    <w:rsid w:val="009E52D3"/>
    <w:rsid w:val="009E6A55"/>
    <w:rsid w:val="009E6DD0"/>
    <w:rsid w:val="009E6F5C"/>
    <w:rsid w:val="009E7562"/>
    <w:rsid w:val="009E7ADC"/>
    <w:rsid w:val="009E7ED5"/>
    <w:rsid w:val="009F021B"/>
    <w:rsid w:val="009F04EB"/>
    <w:rsid w:val="009F0861"/>
    <w:rsid w:val="009F09F4"/>
    <w:rsid w:val="009F0BD9"/>
    <w:rsid w:val="009F0C98"/>
    <w:rsid w:val="009F1474"/>
    <w:rsid w:val="009F1A0A"/>
    <w:rsid w:val="009F21DC"/>
    <w:rsid w:val="009F240A"/>
    <w:rsid w:val="009F2803"/>
    <w:rsid w:val="009F2859"/>
    <w:rsid w:val="009F2900"/>
    <w:rsid w:val="009F293D"/>
    <w:rsid w:val="009F2BA2"/>
    <w:rsid w:val="009F31A9"/>
    <w:rsid w:val="009F3332"/>
    <w:rsid w:val="009F33FA"/>
    <w:rsid w:val="009F344F"/>
    <w:rsid w:val="009F3645"/>
    <w:rsid w:val="009F3AC7"/>
    <w:rsid w:val="009F3F99"/>
    <w:rsid w:val="009F4283"/>
    <w:rsid w:val="009F42F3"/>
    <w:rsid w:val="009F449B"/>
    <w:rsid w:val="009F4C2B"/>
    <w:rsid w:val="009F4E26"/>
    <w:rsid w:val="009F5105"/>
    <w:rsid w:val="009F5259"/>
    <w:rsid w:val="009F5DC4"/>
    <w:rsid w:val="009F5E53"/>
    <w:rsid w:val="009F6769"/>
    <w:rsid w:val="009F6903"/>
    <w:rsid w:val="009F7107"/>
    <w:rsid w:val="009F768A"/>
    <w:rsid w:val="009F78D9"/>
    <w:rsid w:val="009F7CA8"/>
    <w:rsid w:val="00A002F3"/>
    <w:rsid w:val="00A006BD"/>
    <w:rsid w:val="00A006E1"/>
    <w:rsid w:val="00A00824"/>
    <w:rsid w:val="00A009AC"/>
    <w:rsid w:val="00A00B7E"/>
    <w:rsid w:val="00A00D50"/>
    <w:rsid w:val="00A00DAC"/>
    <w:rsid w:val="00A00DC0"/>
    <w:rsid w:val="00A01149"/>
    <w:rsid w:val="00A0174E"/>
    <w:rsid w:val="00A01C1F"/>
    <w:rsid w:val="00A01C86"/>
    <w:rsid w:val="00A01C98"/>
    <w:rsid w:val="00A02408"/>
    <w:rsid w:val="00A02656"/>
    <w:rsid w:val="00A02901"/>
    <w:rsid w:val="00A02A9F"/>
    <w:rsid w:val="00A02CE8"/>
    <w:rsid w:val="00A02EE0"/>
    <w:rsid w:val="00A035F2"/>
    <w:rsid w:val="00A03C90"/>
    <w:rsid w:val="00A04441"/>
    <w:rsid w:val="00A04B48"/>
    <w:rsid w:val="00A04C41"/>
    <w:rsid w:val="00A051FC"/>
    <w:rsid w:val="00A0540A"/>
    <w:rsid w:val="00A05A92"/>
    <w:rsid w:val="00A05ACF"/>
    <w:rsid w:val="00A05D66"/>
    <w:rsid w:val="00A06A54"/>
    <w:rsid w:val="00A06B8B"/>
    <w:rsid w:val="00A06E22"/>
    <w:rsid w:val="00A06EFA"/>
    <w:rsid w:val="00A100C6"/>
    <w:rsid w:val="00A10207"/>
    <w:rsid w:val="00A10423"/>
    <w:rsid w:val="00A1042B"/>
    <w:rsid w:val="00A10D02"/>
    <w:rsid w:val="00A10FC4"/>
    <w:rsid w:val="00A1124A"/>
    <w:rsid w:val="00A1160F"/>
    <w:rsid w:val="00A11911"/>
    <w:rsid w:val="00A1227D"/>
    <w:rsid w:val="00A122D2"/>
    <w:rsid w:val="00A1238B"/>
    <w:rsid w:val="00A1260D"/>
    <w:rsid w:val="00A12CAC"/>
    <w:rsid w:val="00A13081"/>
    <w:rsid w:val="00A137EE"/>
    <w:rsid w:val="00A13D9F"/>
    <w:rsid w:val="00A14AA2"/>
    <w:rsid w:val="00A15402"/>
    <w:rsid w:val="00A1548E"/>
    <w:rsid w:val="00A15A52"/>
    <w:rsid w:val="00A15DE0"/>
    <w:rsid w:val="00A1614F"/>
    <w:rsid w:val="00A162F2"/>
    <w:rsid w:val="00A16A33"/>
    <w:rsid w:val="00A171E1"/>
    <w:rsid w:val="00A1727C"/>
    <w:rsid w:val="00A172FD"/>
    <w:rsid w:val="00A179AD"/>
    <w:rsid w:val="00A17AEF"/>
    <w:rsid w:val="00A17C62"/>
    <w:rsid w:val="00A17CFF"/>
    <w:rsid w:val="00A17D5B"/>
    <w:rsid w:val="00A20A26"/>
    <w:rsid w:val="00A215B0"/>
    <w:rsid w:val="00A218FE"/>
    <w:rsid w:val="00A21F85"/>
    <w:rsid w:val="00A22360"/>
    <w:rsid w:val="00A22536"/>
    <w:rsid w:val="00A227AB"/>
    <w:rsid w:val="00A2283C"/>
    <w:rsid w:val="00A229B1"/>
    <w:rsid w:val="00A22B30"/>
    <w:rsid w:val="00A230B1"/>
    <w:rsid w:val="00A2323D"/>
    <w:rsid w:val="00A23C9F"/>
    <w:rsid w:val="00A240AC"/>
    <w:rsid w:val="00A240FF"/>
    <w:rsid w:val="00A24272"/>
    <w:rsid w:val="00A2446B"/>
    <w:rsid w:val="00A24B17"/>
    <w:rsid w:val="00A25A12"/>
    <w:rsid w:val="00A25D2F"/>
    <w:rsid w:val="00A26090"/>
    <w:rsid w:val="00A266C7"/>
    <w:rsid w:val="00A26C96"/>
    <w:rsid w:val="00A270AB"/>
    <w:rsid w:val="00A2732C"/>
    <w:rsid w:val="00A27564"/>
    <w:rsid w:val="00A277C7"/>
    <w:rsid w:val="00A278DD"/>
    <w:rsid w:val="00A27A71"/>
    <w:rsid w:val="00A27F02"/>
    <w:rsid w:val="00A311A8"/>
    <w:rsid w:val="00A31CC5"/>
    <w:rsid w:val="00A31DF9"/>
    <w:rsid w:val="00A32078"/>
    <w:rsid w:val="00A32211"/>
    <w:rsid w:val="00A32462"/>
    <w:rsid w:val="00A32B0E"/>
    <w:rsid w:val="00A32D14"/>
    <w:rsid w:val="00A335A6"/>
    <w:rsid w:val="00A33876"/>
    <w:rsid w:val="00A33D3A"/>
    <w:rsid w:val="00A34114"/>
    <w:rsid w:val="00A341F3"/>
    <w:rsid w:val="00A34B29"/>
    <w:rsid w:val="00A34BEA"/>
    <w:rsid w:val="00A34C81"/>
    <w:rsid w:val="00A34E19"/>
    <w:rsid w:val="00A34FB9"/>
    <w:rsid w:val="00A34FC2"/>
    <w:rsid w:val="00A353D8"/>
    <w:rsid w:val="00A3567D"/>
    <w:rsid w:val="00A35B31"/>
    <w:rsid w:val="00A3664B"/>
    <w:rsid w:val="00A36B46"/>
    <w:rsid w:val="00A36BD5"/>
    <w:rsid w:val="00A36FB3"/>
    <w:rsid w:val="00A374B1"/>
    <w:rsid w:val="00A40014"/>
    <w:rsid w:val="00A401BF"/>
    <w:rsid w:val="00A40906"/>
    <w:rsid w:val="00A40C3D"/>
    <w:rsid w:val="00A40C5E"/>
    <w:rsid w:val="00A40D0C"/>
    <w:rsid w:val="00A41302"/>
    <w:rsid w:val="00A415E2"/>
    <w:rsid w:val="00A41C59"/>
    <w:rsid w:val="00A41C63"/>
    <w:rsid w:val="00A420F4"/>
    <w:rsid w:val="00A42130"/>
    <w:rsid w:val="00A421C0"/>
    <w:rsid w:val="00A4271D"/>
    <w:rsid w:val="00A42AD9"/>
    <w:rsid w:val="00A42CF9"/>
    <w:rsid w:val="00A43021"/>
    <w:rsid w:val="00A43278"/>
    <w:rsid w:val="00A434EC"/>
    <w:rsid w:val="00A438EE"/>
    <w:rsid w:val="00A44BAB"/>
    <w:rsid w:val="00A455B1"/>
    <w:rsid w:val="00A459D9"/>
    <w:rsid w:val="00A45BF7"/>
    <w:rsid w:val="00A45FF8"/>
    <w:rsid w:val="00A461D0"/>
    <w:rsid w:val="00A46249"/>
    <w:rsid w:val="00A46385"/>
    <w:rsid w:val="00A463EB"/>
    <w:rsid w:val="00A466BC"/>
    <w:rsid w:val="00A469C6"/>
    <w:rsid w:val="00A47029"/>
    <w:rsid w:val="00A47341"/>
    <w:rsid w:val="00A50299"/>
    <w:rsid w:val="00A503CF"/>
    <w:rsid w:val="00A50F4B"/>
    <w:rsid w:val="00A510C2"/>
    <w:rsid w:val="00A51D1A"/>
    <w:rsid w:val="00A51D94"/>
    <w:rsid w:val="00A51DC7"/>
    <w:rsid w:val="00A52100"/>
    <w:rsid w:val="00A523FB"/>
    <w:rsid w:val="00A52885"/>
    <w:rsid w:val="00A53048"/>
    <w:rsid w:val="00A535DB"/>
    <w:rsid w:val="00A536D5"/>
    <w:rsid w:val="00A53919"/>
    <w:rsid w:val="00A53F09"/>
    <w:rsid w:val="00A53FCE"/>
    <w:rsid w:val="00A5425D"/>
    <w:rsid w:val="00A54DAA"/>
    <w:rsid w:val="00A5510E"/>
    <w:rsid w:val="00A559F4"/>
    <w:rsid w:val="00A55A51"/>
    <w:rsid w:val="00A56547"/>
    <w:rsid w:val="00A56BBE"/>
    <w:rsid w:val="00A56D12"/>
    <w:rsid w:val="00A570E0"/>
    <w:rsid w:val="00A57343"/>
    <w:rsid w:val="00A57566"/>
    <w:rsid w:val="00A57609"/>
    <w:rsid w:val="00A57889"/>
    <w:rsid w:val="00A6027F"/>
    <w:rsid w:val="00A606A0"/>
    <w:rsid w:val="00A60AEA"/>
    <w:rsid w:val="00A60E0C"/>
    <w:rsid w:val="00A611FE"/>
    <w:rsid w:val="00A61263"/>
    <w:rsid w:val="00A614AD"/>
    <w:rsid w:val="00A61805"/>
    <w:rsid w:val="00A61886"/>
    <w:rsid w:val="00A61C42"/>
    <w:rsid w:val="00A6231F"/>
    <w:rsid w:val="00A626C0"/>
    <w:rsid w:val="00A62CE4"/>
    <w:rsid w:val="00A63706"/>
    <w:rsid w:val="00A63792"/>
    <w:rsid w:val="00A63840"/>
    <w:rsid w:val="00A63991"/>
    <w:rsid w:val="00A63A0E"/>
    <w:rsid w:val="00A63D89"/>
    <w:rsid w:val="00A64DAD"/>
    <w:rsid w:val="00A650DB"/>
    <w:rsid w:val="00A65406"/>
    <w:rsid w:val="00A65B54"/>
    <w:rsid w:val="00A65E52"/>
    <w:rsid w:val="00A6616B"/>
    <w:rsid w:val="00A661E3"/>
    <w:rsid w:val="00A6662E"/>
    <w:rsid w:val="00A66B3D"/>
    <w:rsid w:val="00A66E04"/>
    <w:rsid w:val="00A671B3"/>
    <w:rsid w:val="00A6775B"/>
    <w:rsid w:val="00A67816"/>
    <w:rsid w:val="00A67E84"/>
    <w:rsid w:val="00A67F13"/>
    <w:rsid w:val="00A7001F"/>
    <w:rsid w:val="00A70B12"/>
    <w:rsid w:val="00A71084"/>
    <w:rsid w:val="00A71181"/>
    <w:rsid w:val="00A71996"/>
    <w:rsid w:val="00A71CC9"/>
    <w:rsid w:val="00A71E69"/>
    <w:rsid w:val="00A7269D"/>
    <w:rsid w:val="00A7290C"/>
    <w:rsid w:val="00A72ADA"/>
    <w:rsid w:val="00A733CD"/>
    <w:rsid w:val="00A73642"/>
    <w:rsid w:val="00A73647"/>
    <w:rsid w:val="00A73915"/>
    <w:rsid w:val="00A73AC8"/>
    <w:rsid w:val="00A740A9"/>
    <w:rsid w:val="00A740DC"/>
    <w:rsid w:val="00A74C0B"/>
    <w:rsid w:val="00A74CED"/>
    <w:rsid w:val="00A74E03"/>
    <w:rsid w:val="00A75085"/>
    <w:rsid w:val="00A753C1"/>
    <w:rsid w:val="00A7588B"/>
    <w:rsid w:val="00A76063"/>
    <w:rsid w:val="00A7661A"/>
    <w:rsid w:val="00A767A1"/>
    <w:rsid w:val="00A767FD"/>
    <w:rsid w:val="00A76B3E"/>
    <w:rsid w:val="00A771BF"/>
    <w:rsid w:val="00A77A3F"/>
    <w:rsid w:val="00A801BC"/>
    <w:rsid w:val="00A80822"/>
    <w:rsid w:val="00A80B84"/>
    <w:rsid w:val="00A80D67"/>
    <w:rsid w:val="00A8118B"/>
    <w:rsid w:val="00A81244"/>
    <w:rsid w:val="00A812D8"/>
    <w:rsid w:val="00A815D0"/>
    <w:rsid w:val="00A81953"/>
    <w:rsid w:val="00A81B67"/>
    <w:rsid w:val="00A81D09"/>
    <w:rsid w:val="00A823AB"/>
    <w:rsid w:val="00A82C6D"/>
    <w:rsid w:val="00A83046"/>
    <w:rsid w:val="00A83DB0"/>
    <w:rsid w:val="00A84155"/>
    <w:rsid w:val="00A84AE2"/>
    <w:rsid w:val="00A84AEB"/>
    <w:rsid w:val="00A84DD3"/>
    <w:rsid w:val="00A85C62"/>
    <w:rsid w:val="00A85D25"/>
    <w:rsid w:val="00A861F3"/>
    <w:rsid w:val="00A8677F"/>
    <w:rsid w:val="00A867C4"/>
    <w:rsid w:val="00A86BD8"/>
    <w:rsid w:val="00A86E59"/>
    <w:rsid w:val="00A86F1A"/>
    <w:rsid w:val="00A872CA"/>
    <w:rsid w:val="00A879C1"/>
    <w:rsid w:val="00A87A3E"/>
    <w:rsid w:val="00A87B18"/>
    <w:rsid w:val="00A90283"/>
    <w:rsid w:val="00A90686"/>
    <w:rsid w:val="00A9074A"/>
    <w:rsid w:val="00A90888"/>
    <w:rsid w:val="00A90B04"/>
    <w:rsid w:val="00A90B1F"/>
    <w:rsid w:val="00A90B26"/>
    <w:rsid w:val="00A90DB1"/>
    <w:rsid w:val="00A90DCE"/>
    <w:rsid w:val="00A910CC"/>
    <w:rsid w:val="00A9147B"/>
    <w:rsid w:val="00A9162D"/>
    <w:rsid w:val="00A917A8"/>
    <w:rsid w:val="00A9185E"/>
    <w:rsid w:val="00A91BA8"/>
    <w:rsid w:val="00A91DB9"/>
    <w:rsid w:val="00A91EF1"/>
    <w:rsid w:val="00A91EF2"/>
    <w:rsid w:val="00A91EF4"/>
    <w:rsid w:val="00A92331"/>
    <w:rsid w:val="00A92E10"/>
    <w:rsid w:val="00A9325C"/>
    <w:rsid w:val="00A9390E"/>
    <w:rsid w:val="00A939FA"/>
    <w:rsid w:val="00A93B3D"/>
    <w:rsid w:val="00A94129"/>
    <w:rsid w:val="00A94171"/>
    <w:rsid w:val="00A947DA"/>
    <w:rsid w:val="00A94A61"/>
    <w:rsid w:val="00A94FD5"/>
    <w:rsid w:val="00A950AD"/>
    <w:rsid w:val="00A95559"/>
    <w:rsid w:val="00A95F9F"/>
    <w:rsid w:val="00A95FC9"/>
    <w:rsid w:val="00A96223"/>
    <w:rsid w:val="00A96CAB"/>
    <w:rsid w:val="00A96E85"/>
    <w:rsid w:val="00A96FC6"/>
    <w:rsid w:val="00A97B61"/>
    <w:rsid w:val="00AA01DA"/>
    <w:rsid w:val="00AA0220"/>
    <w:rsid w:val="00AA046E"/>
    <w:rsid w:val="00AA04E0"/>
    <w:rsid w:val="00AA0766"/>
    <w:rsid w:val="00AA0891"/>
    <w:rsid w:val="00AA0F42"/>
    <w:rsid w:val="00AA106A"/>
    <w:rsid w:val="00AA115C"/>
    <w:rsid w:val="00AA1211"/>
    <w:rsid w:val="00AA1579"/>
    <w:rsid w:val="00AA2101"/>
    <w:rsid w:val="00AA2195"/>
    <w:rsid w:val="00AA2380"/>
    <w:rsid w:val="00AA2854"/>
    <w:rsid w:val="00AA2CD2"/>
    <w:rsid w:val="00AA2E76"/>
    <w:rsid w:val="00AA35E5"/>
    <w:rsid w:val="00AA37D3"/>
    <w:rsid w:val="00AA3BFD"/>
    <w:rsid w:val="00AA41E9"/>
    <w:rsid w:val="00AA4482"/>
    <w:rsid w:val="00AA450C"/>
    <w:rsid w:val="00AA47F9"/>
    <w:rsid w:val="00AA4AE0"/>
    <w:rsid w:val="00AA5139"/>
    <w:rsid w:val="00AA5265"/>
    <w:rsid w:val="00AA579B"/>
    <w:rsid w:val="00AA5AEF"/>
    <w:rsid w:val="00AA5E31"/>
    <w:rsid w:val="00AA6884"/>
    <w:rsid w:val="00AA6E71"/>
    <w:rsid w:val="00AA70F2"/>
    <w:rsid w:val="00AA7196"/>
    <w:rsid w:val="00AA7247"/>
    <w:rsid w:val="00AA7437"/>
    <w:rsid w:val="00AA750C"/>
    <w:rsid w:val="00AA7A5E"/>
    <w:rsid w:val="00AB0229"/>
    <w:rsid w:val="00AB07D1"/>
    <w:rsid w:val="00AB0879"/>
    <w:rsid w:val="00AB0966"/>
    <w:rsid w:val="00AB0AA6"/>
    <w:rsid w:val="00AB0E99"/>
    <w:rsid w:val="00AB0F03"/>
    <w:rsid w:val="00AB1287"/>
    <w:rsid w:val="00AB1698"/>
    <w:rsid w:val="00AB17E5"/>
    <w:rsid w:val="00AB1CE8"/>
    <w:rsid w:val="00AB1FC9"/>
    <w:rsid w:val="00AB2F20"/>
    <w:rsid w:val="00AB3386"/>
    <w:rsid w:val="00AB367F"/>
    <w:rsid w:val="00AB39BF"/>
    <w:rsid w:val="00AB3A53"/>
    <w:rsid w:val="00AB3F7B"/>
    <w:rsid w:val="00AB4419"/>
    <w:rsid w:val="00AB45DD"/>
    <w:rsid w:val="00AB4976"/>
    <w:rsid w:val="00AB4AD8"/>
    <w:rsid w:val="00AB5222"/>
    <w:rsid w:val="00AB5597"/>
    <w:rsid w:val="00AB5FEE"/>
    <w:rsid w:val="00AB6DFC"/>
    <w:rsid w:val="00AB7350"/>
    <w:rsid w:val="00AB7786"/>
    <w:rsid w:val="00AB7A79"/>
    <w:rsid w:val="00AB7C4E"/>
    <w:rsid w:val="00AB7DD2"/>
    <w:rsid w:val="00AC0189"/>
    <w:rsid w:val="00AC0934"/>
    <w:rsid w:val="00AC09CD"/>
    <w:rsid w:val="00AC1004"/>
    <w:rsid w:val="00AC165A"/>
    <w:rsid w:val="00AC2832"/>
    <w:rsid w:val="00AC2885"/>
    <w:rsid w:val="00AC37AF"/>
    <w:rsid w:val="00AC3DB7"/>
    <w:rsid w:val="00AC3DF5"/>
    <w:rsid w:val="00AC400E"/>
    <w:rsid w:val="00AC4293"/>
    <w:rsid w:val="00AC4319"/>
    <w:rsid w:val="00AC47BD"/>
    <w:rsid w:val="00AC4E38"/>
    <w:rsid w:val="00AC561A"/>
    <w:rsid w:val="00AC570E"/>
    <w:rsid w:val="00AC57D2"/>
    <w:rsid w:val="00AC658F"/>
    <w:rsid w:val="00AC6E43"/>
    <w:rsid w:val="00AC7260"/>
    <w:rsid w:val="00AC7593"/>
    <w:rsid w:val="00AC76A5"/>
    <w:rsid w:val="00AC7899"/>
    <w:rsid w:val="00AC7F42"/>
    <w:rsid w:val="00AD0B50"/>
    <w:rsid w:val="00AD0B96"/>
    <w:rsid w:val="00AD1436"/>
    <w:rsid w:val="00AD1A5F"/>
    <w:rsid w:val="00AD1A60"/>
    <w:rsid w:val="00AD1C44"/>
    <w:rsid w:val="00AD1C70"/>
    <w:rsid w:val="00AD2762"/>
    <w:rsid w:val="00AD27FC"/>
    <w:rsid w:val="00AD2ACE"/>
    <w:rsid w:val="00AD2B92"/>
    <w:rsid w:val="00AD322C"/>
    <w:rsid w:val="00AD3A38"/>
    <w:rsid w:val="00AD3FA7"/>
    <w:rsid w:val="00AD4029"/>
    <w:rsid w:val="00AD4B09"/>
    <w:rsid w:val="00AD4D4A"/>
    <w:rsid w:val="00AD4EF7"/>
    <w:rsid w:val="00AD4FA3"/>
    <w:rsid w:val="00AD50AD"/>
    <w:rsid w:val="00AD514D"/>
    <w:rsid w:val="00AD516C"/>
    <w:rsid w:val="00AD5C99"/>
    <w:rsid w:val="00AD5D6B"/>
    <w:rsid w:val="00AD5DEF"/>
    <w:rsid w:val="00AD5FD1"/>
    <w:rsid w:val="00AD6407"/>
    <w:rsid w:val="00AD6E95"/>
    <w:rsid w:val="00AD752F"/>
    <w:rsid w:val="00AD79BB"/>
    <w:rsid w:val="00AE00CA"/>
    <w:rsid w:val="00AE02C6"/>
    <w:rsid w:val="00AE0888"/>
    <w:rsid w:val="00AE0F01"/>
    <w:rsid w:val="00AE10C4"/>
    <w:rsid w:val="00AE1152"/>
    <w:rsid w:val="00AE118B"/>
    <w:rsid w:val="00AE1197"/>
    <w:rsid w:val="00AE1524"/>
    <w:rsid w:val="00AE1AE1"/>
    <w:rsid w:val="00AE1FB3"/>
    <w:rsid w:val="00AE254F"/>
    <w:rsid w:val="00AE25B1"/>
    <w:rsid w:val="00AE260E"/>
    <w:rsid w:val="00AE2A7F"/>
    <w:rsid w:val="00AE2C77"/>
    <w:rsid w:val="00AE2D01"/>
    <w:rsid w:val="00AE3AB0"/>
    <w:rsid w:val="00AE3C9F"/>
    <w:rsid w:val="00AE415F"/>
    <w:rsid w:val="00AE4801"/>
    <w:rsid w:val="00AE4E21"/>
    <w:rsid w:val="00AE4F15"/>
    <w:rsid w:val="00AE55BC"/>
    <w:rsid w:val="00AE572E"/>
    <w:rsid w:val="00AE57D2"/>
    <w:rsid w:val="00AE5890"/>
    <w:rsid w:val="00AE5D51"/>
    <w:rsid w:val="00AE638D"/>
    <w:rsid w:val="00AE686D"/>
    <w:rsid w:val="00AE6B27"/>
    <w:rsid w:val="00AE6D6A"/>
    <w:rsid w:val="00AE6F0F"/>
    <w:rsid w:val="00AE7200"/>
    <w:rsid w:val="00AF00D2"/>
    <w:rsid w:val="00AF0489"/>
    <w:rsid w:val="00AF0B16"/>
    <w:rsid w:val="00AF0F96"/>
    <w:rsid w:val="00AF21D7"/>
    <w:rsid w:val="00AF222F"/>
    <w:rsid w:val="00AF2893"/>
    <w:rsid w:val="00AF28EB"/>
    <w:rsid w:val="00AF2ED6"/>
    <w:rsid w:val="00AF3178"/>
    <w:rsid w:val="00AF32F2"/>
    <w:rsid w:val="00AF36B6"/>
    <w:rsid w:val="00AF3702"/>
    <w:rsid w:val="00AF3A61"/>
    <w:rsid w:val="00AF3C6C"/>
    <w:rsid w:val="00AF49AE"/>
    <w:rsid w:val="00AF4A74"/>
    <w:rsid w:val="00AF4AB5"/>
    <w:rsid w:val="00AF4E1B"/>
    <w:rsid w:val="00AF5216"/>
    <w:rsid w:val="00AF527E"/>
    <w:rsid w:val="00AF5407"/>
    <w:rsid w:val="00AF5AC5"/>
    <w:rsid w:val="00AF5D56"/>
    <w:rsid w:val="00AF5F14"/>
    <w:rsid w:val="00AF6595"/>
    <w:rsid w:val="00AF6E63"/>
    <w:rsid w:val="00AF7444"/>
    <w:rsid w:val="00AF76F4"/>
    <w:rsid w:val="00AF780B"/>
    <w:rsid w:val="00AF782D"/>
    <w:rsid w:val="00B00130"/>
    <w:rsid w:val="00B00C7A"/>
    <w:rsid w:val="00B00D08"/>
    <w:rsid w:val="00B00ED5"/>
    <w:rsid w:val="00B017EA"/>
    <w:rsid w:val="00B01B8C"/>
    <w:rsid w:val="00B022CF"/>
    <w:rsid w:val="00B02808"/>
    <w:rsid w:val="00B0284A"/>
    <w:rsid w:val="00B028BC"/>
    <w:rsid w:val="00B02BB7"/>
    <w:rsid w:val="00B02BF0"/>
    <w:rsid w:val="00B02EEE"/>
    <w:rsid w:val="00B037DC"/>
    <w:rsid w:val="00B03861"/>
    <w:rsid w:val="00B038A2"/>
    <w:rsid w:val="00B03AB4"/>
    <w:rsid w:val="00B04580"/>
    <w:rsid w:val="00B0459A"/>
    <w:rsid w:val="00B04830"/>
    <w:rsid w:val="00B04972"/>
    <w:rsid w:val="00B04A0A"/>
    <w:rsid w:val="00B04BED"/>
    <w:rsid w:val="00B0573A"/>
    <w:rsid w:val="00B05B34"/>
    <w:rsid w:val="00B05B91"/>
    <w:rsid w:val="00B05FB0"/>
    <w:rsid w:val="00B05FE5"/>
    <w:rsid w:val="00B0613A"/>
    <w:rsid w:val="00B0624B"/>
    <w:rsid w:val="00B062A6"/>
    <w:rsid w:val="00B06382"/>
    <w:rsid w:val="00B0689A"/>
    <w:rsid w:val="00B069B2"/>
    <w:rsid w:val="00B069BA"/>
    <w:rsid w:val="00B06DD5"/>
    <w:rsid w:val="00B06F77"/>
    <w:rsid w:val="00B0711E"/>
    <w:rsid w:val="00B07297"/>
    <w:rsid w:val="00B077CC"/>
    <w:rsid w:val="00B07CD8"/>
    <w:rsid w:val="00B10346"/>
    <w:rsid w:val="00B10762"/>
    <w:rsid w:val="00B10B90"/>
    <w:rsid w:val="00B11197"/>
    <w:rsid w:val="00B119A6"/>
    <w:rsid w:val="00B11D78"/>
    <w:rsid w:val="00B11F38"/>
    <w:rsid w:val="00B123E2"/>
    <w:rsid w:val="00B12BA7"/>
    <w:rsid w:val="00B12FD0"/>
    <w:rsid w:val="00B1390D"/>
    <w:rsid w:val="00B13D07"/>
    <w:rsid w:val="00B13F7C"/>
    <w:rsid w:val="00B141FA"/>
    <w:rsid w:val="00B143C4"/>
    <w:rsid w:val="00B1482F"/>
    <w:rsid w:val="00B148D0"/>
    <w:rsid w:val="00B14E03"/>
    <w:rsid w:val="00B150AC"/>
    <w:rsid w:val="00B1524E"/>
    <w:rsid w:val="00B152C6"/>
    <w:rsid w:val="00B1597B"/>
    <w:rsid w:val="00B15B92"/>
    <w:rsid w:val="00B15BB2"/>
    <w:rsid w:val="00B16611"/>
    <w:rsid w:val="00B17016"/>
    <w:rsid w:val="00B20523"/>
    <w:rsid w:val="00B20AF2"/>
    <w:rsid w:val="00B214DD"/>
    <w:rsid w:val="00B216F9"/>
    <w:rsid w:val="00B21D85"/>
    <w:rsid w:val="00B21ED5"/>
    <w:rsid w:val="00B22864"/>
    <w:rsid w:val="00B229BE"/>
    <w:rsid w:val="00B22AE1"/>
    <w:rsid w:val="00B22D02"/>
    <w:rsid w:val="00B23157"/>
    <w:rsid w:val="00B23C29"/>
    <w:rsid w:val="00B24076"/>
    <w:rsid w:val="00B241E3"/>
    <w:rsid w:val="00B242AB"/>
    <w:rsid w:val="00B2511E"/>
    <w:rsid w:val="00B25819"/>
    <w:rsid w:val="00B2586C"/>
    <w:rsid w:val="00B25988"/>
    <w:rsid w:val="00B25C72"/>
    <w:rsid w:val="00B25E6F"/>
    <w:rsid w:val="00B265BA"/>
    <w:rsid w:val="00B265F4"/>
    <w:rsid w:val="00B27220"/>
    <w:rsid w:val="00B27553"/>
    <w:rsid w:val="00B27A6D"/>
    <w:rsid w:val="00B27CC0"/>
    <w:rsid w:val="00B300B6"/>
    <w:rsid w:val="00B3020F"/>
    <w:rsid w:val="00B3098F"/>
    <w:rsid w:val="00B30A12"/>
    <w:rsid w:val="00B30A2A"/>
    <w:rsid w:val="00B30B07"/>
    <w:rsid w:val="00B30BCF"/>
    <w:rsid w:val="00B31170"/>
    <w:rsid w:val="00B314D0"/>
    <w:rsid w:val="00B31F6E"/>
    <w:rsid w:val="00B324B7"/>
    <w:rsid w:val="00B32C01"/>
    <w:rsid w:val="00B32F1F"/>
    <w:rsid w:val="00B32F2D"/>
    <w:rsid w:val="00B33321"/>
    <w:rsid w:val="00B3341E"/>
    <w:rsid w:val="00B3370B"/>
    <w:rsid w:val="00B34296"/>
    <w:rsid w:val="00B344C2"/>
    <w:rsid w:val="00B34C4E"/>
    <w:rsid w:val="00B3517D"/>
    <w:rsid w:val="00B35221"/>
    <w:rsid w:val="00B35520"/>
    <w:rsid w:val="00B35891"/>
    <w:rsid w:val="00B35EFA"/>
    <w:rsid w:val="00B36421"/>
    <w:rsid w:val="00B3690C"/>
    <w:rsid w:val="00B369FF"/>
    <w:rsid w:val="00B36F74"/>
    <w:rsid w:val="00B37068"/>
    <w:rsid w:val="00B370C8"/>
    <w:rsid w:val="00B371DA"/>
    <w:rsid w:val="00B3763B"/>
    <w:rsid w:val="00B37B57"/>
    <w:rsid w:val="00B40330"/>
    <w:rsid w:val="00B4043D"/>
    <w:rsid w:val="00B406E5"/>
    <w:rsid w:val="00B40FAB"/>
    <w:rsid w:val="00B41674"/>
    <w:rsid w:val="00B4180D"/>
    <w:rsid w:val="00B41B90"/>
    <w:rsid w:val="00B4299A"/>
    <w:rsid w:val="00B42A94"/>
    <w:rsid w:val="00B42B47"/>
    <w:rsid w:val="00B42B9E"/>
    <w:rsid w:val="00B42C20"/>
    <w:rsid w:val="00B42D98"/>
    <w:rsid w:val="00B42D9A"/>
    <w:rsid w:val="00B42E90"/>
    <w:rsid w:val="00B42EFB"/>
    <w:rsid w:val="00B42F20"/>
    <w:rsid w:val="00B43023"/>
    <w:rsid w:val="00B4329A"/>
    <w:rsid w:val="00B434EA"/>
    <w:rsid w:val="00B43CED"/>
    <w:rsid w:val="00B43D4A"/>
    <w:rsid w:val="00B44A9B"/>
    <w:rsid w:val="00B44D47"/>
    <w:rsid w:val="00B44D96"/>
    <w:rsid w:val="00B44DB5"/>
    <w:rsid w:val="00B44DBD"/>
    <w:rsid w:val="00B4521F"/>
    <w:rsid w:val="00B45928"/>
    <w:rsid w:val="00B45DD7"/>
    <w:rsid w:val="00B45E16"/>
    <w:rsid w:val="00B45E8C"/>
    <w:rsid w:val="00B46B3C"/>
    <w:rsid w:val="00B46B9B"/>
    <w:rsid w:val="00B46D2D"/>
    <w:rsid w:val="00B46F06"/>
    <w:rsid w:val="00B470FE"/>
    <w:rsid w:val="00B47148"/>
    <w:rsid w:val="00B47248"/>
    <w:rsid w:val="00B47B29"/>
    <w:rsid w:val="00B47FE8"/>
    <w:rsid w:val="00B50036"/>
    <w:rsid w:val="00B50378"/>
    <w:rsid w:val="00B5098B"/>
    <w:rsid w:val="00B50B5A"/>
    <w:rsid w:val="00B50F51"/>
    <w:rsid w:val="00B51403"/>
    <w:rsid w:val="00B51A2F"/>
    <w:rsid w:val="00B51B5B"/>
    <w:rsid w:val="00B52111"/>
    <w:rsid w:val="00B5240A"/>
    <w:rsid w:val="00B528D0"/>
    <w:rsid w:val="00B52FAF"/>
    <w:rsid w:val="00B52FDA"/>
    <w:rsid w:val="00B5304F"/>
    <w:rsid w:val="00B5323F"/>
    <w:rsid w:val="00B532CA"/>
    <w:rsid w:val="00B539EB"/>
    <w:rsid w:val="00B53B23"/>
    <w:rsid w:val="00B54550"/>
    <w:rsid w:val="00B547FF"/>
    <w:rsid w:val="00B5495B"/>
    <w:rsid w:val="00B54A5A"/>
    <w:rsid w:val="00B54B7E"/>
    <w:rsid w:val="00B54F0F"/>
    <w:rsid w:val="00B54FEB"/>
    <w:rsid w:val="00B5537A"/>
    <w:rsid w:val="00B5557F"/>
    <w:rsid w:val="00B55695"/>
    <w:rsid w:val="00B562E6"/>
    <w:rsid w:val="00B5639B"/>
    <w:rsid w:val="00B5660B"/>
    <w:rsid w:val="00B56FEA"/>
    <w:rsid w:val="00B57643"/>
    <w:rsid w:val="00B576E1"/>
    <w:rsid w:val="00B577EE"/>
    <w:rsid w:val="00B579AB"/>
    <w:rsid w:val="00B57A77"/>
    <w:rsid w:val="00B57C68"/>
    <w:rsid w:val="00B6004E"/>
    <w:rsid w:val="00B60477"/>
    <w:rsid w:val="00B6072A"/>
    <w:rsid w:val="00B608F1"/>
    <w:rsid w:val="00B60F79"/>
    <w:rsid w:val="00B611B5"/>
    <w:rsid w:val="00B6124A"/>
    <w:rsid w:val="00B61337"/>
    <w:rsid w:val="00B61B49"/>
    <w:rsid w:val="00B62482"/>
    <w:rsid w:val="00B62538"/>
    <w:rsid w:val="00B6254F"/>
    <w:rsid w:val="00B62601"/>
    <w:rsid w:val="00B62B8B"/>
    <w:rsid w:val="00B63111"/>
    <w:rsid w:val="00B6317C"/>
    <w:rsid w:val="00B633B9"/>
    <w:rsid w:val="00B63545"/>
    <w:rsid w:val="00B63591"/>
    <w:rsid w:val="00B635C6"/>
    <w:rsid w:val="00B63704"/>
    <w:rsid w:val="00B63742"/>
    <w:rsid w:val="00B637D9"/>
    <w:rsid w:val="00B63B4A"/>
    <w:rsid w:val="00B6428D"/>
    <w:rsid w:val="00B64496"/>
    <w:rsid w:val="00B64498"/>
    <w:rsid w:val="00B64C56"/>
    <w:rsid w:val="00B6604C"/>
    <w:rsid w:val="00B661F6"/>
    <w:rsid w:val="00B664B0"/>
    <w:rsid w:val="00B66853"/>
    <w:rsid w:val="00B67120"/>
    <w:rsid w:val="00B673CA"/>
    <w:rsid w:val="00B6753E"/>
    <w:rsid w:val="00B67550"/>
    <w:rsid w:val="00B67978"/>
    <w:rsid w:val="00B679F5"/>
    <w:rsid w:val="00B67B36"/>
    <w:rsid w:val="00B7117A"/>
    <w:rsid w:val="00B71203"/>
    <w:rsid w:val="00B71684"/>
    <w:rsid w:val="00B72053"/>
    <w:rsid w:val="00B7234F"/>
    <w:rsid w:val="00B724F4"/>
    <w:rsid w:val="00B72537"/>
    <w:rsid w:val="00B72E76"/>
    <w:rsid w:val="00B73B57"/>
    <w:rsid w:val="00B73CC7"/>
    <w:rsid w:val="00B742BB"/>
    <w:rsid w:val="00B746D5"/>
    <w:rsid w:val="00B74753"/>
    <w:rsid w:val="00B74BDA"/>
    <w:rsid w:val="00B74DEB"/>
    <w:rsid w:val="00B75037"/>
    <w:rsid w:val="00B75159"/>
    <w:rsid w:val="00B759D6"/>
    <w:rsid w:val="00B75AAD"/>
    <w:rsid w:val="00B75D3F"/>
    <w:rsid w:val="00B75FFB"/>
    <w:rsid w:val="00B76584"/>
    <w:rsid w:val="00B7745A"/>
    <w:rsid w:val="00B77723"/>
    <w:rsid w:val="00B77ABB"/>
    <w:rsid w:val="00B77E12"/>
    <w:rsid w:val="00B77E50"/>
    <w:rsid w:val="00B77FA9"/>
    <w:rsid w:val="00B802CA"/>
    <w:rsid w:val="00B809B6"/>
    <w:rsid w:val="00B80B08"/>
    <w:rsid w:val="00B80B0E"/>
    <w:rsid w:val="00B80E0E"/>
    <w:rsid w:val="00B81533"/>
    <w:rsid w:val="00B815D3"/>
    <w:rsid w:val="00B818D4"/>
    <w:rsid w:val="00B827B7"/>
    <w:rsid w:val="00B8288C"/>
    <w:rsid w:val="00B82C39"/>
    <w:rsid w:val="00B82D67"/>
    <w:rsid w:val="00B82DE1"/>
    <w:rsid w:val="00B831B4"/>
    <w:rsid w:val="00B83476"/>
    <w:rsid w:val="00B835D2"/>
    <w:rsid w:val="00B83F32"/>
    <w:rsid w:val="00B842EE"/>
    <w:rsid w:val="00B84396"/>
    <w:rsid w:val="00B843A1"/>
    <w:rsid w:val="00B84410"/>
    <w:rsid w:val="00B84710"/>
    <w:rsid w:val="00B84792"/>
    <w:rsid w:val="00B848BE"/>
    <w:rsid w:val="00B84978"/>
    <w:rsid w:val="00B84FF8"/>
    <w:rsid w:val="00B8573A"/>
    <w:rsid w:val="00B85861"/>
    <w:rsid w:val="00B85AE3"/>
    <w:rsid w:val="00B861A7"/>
    <w:rsid w:val="00B86DA8"/>
    <w:rsid w:val="00B86DDB"/>
    <w:rsid w:val="00B873D5"/>
    <w:rsid w:val="00B8748B"/>
    <w:rsid w:val="00B87BC1"/>
    <w:rsid w:val="00B87F56"/>
    <w:rsid w:val="00B903B9"/>
    <w:rsid w:val="00B911CB"/>
    <w:rsid w:val="00B91504"/>
    <w:rsid w:val="00B91818"/>
    <w:rsid w:val="00B919AB"/>
    <w:rsid w:val="00B91F89"/>
    <w:rsid w:val="00B927B0"/>
    <w:rsid w:val="00B9290A"/>
    <w:rsid w:val="00B92C14"/>
    <w:rsid w:val="00B92F7A"/>
    <w:rsid w:val="00B931D0"/>
    <w:rsid w:val="00B93597"/>
    <w:rsid w:val="00B93799"/>
    <w:rsid w:val="00B93A45"/>
    <w:rsid w:val="00B942B2"/>
    <w:rsid w:val="00B9463B"/>
    <w:rsid w:val="00B94798"/>
    <w:rsid w:val="00B947FD"/>
    <w:rsid w:val="00B94BE5"/>
    <w:rsid w:val="00B96011"/>
    <w:rsid w:val="00B965AF"/>
    <w:rsid w:val="00B96964"/>
    <w:rsid w:val="00B97182"/>
    <w:rsid w:val="00B977A2"/>
    <w:rsid w:val="00B97DBD"/>
    <w:rsid w:val="00BA0255"/>
    <w:rsid w:val="00BA064A"/>
    <w:rsid w:val="00BA06D4"/>
    <w:rsid w:val="00BA075F"/>
    <w:rsid w:val="00BA0A76"/>
    <w:rsid w:val="00BA0B17"/>
    <w:rsid w:val="00BA0D2A"/>
    <w:rsid w:val="00BA0F7A"/>
    <w:rsid w:val="00BA0FA7"/>
    <w:rsid w:val="00BA1218"/>
    <w:rsid w:val="00BA14C1"/>
    <w:rsid w:val="00BA16AB"/>
    <w:rsid w:val="00BA1B48"/>
    <w:rsid w:val="00BA1BDC"/>
    <w:rsid w:val="00BA1D32"/>
    <w:rsid w:val="00BA2169"/>
    <w:rsid w:val="00BA256B"/>
    <w:rsid w:val="00BA31A5"/>
    <w:rsid w:val="00BA38A8"/>
    <w:rsid w:val="00BA3DFA"/>
    <w:rsid w:val="00BA4EFE"/>
    <w:rsid w:val="00BA52C1"/>
    <w:rsid w:val="00BA58C0"/>
    <w:rsid w:val="00BA6166"/>
    <w:rsid w:val="00BA683A"/>
    <w:rsid w:val="00BA739B"/>
    <w:rsid w:val="00BA76B1"/>
    <w:rsid w:val="00BA7A38"/>
    <w:rsid w:val="00BA7CCB"/>
    <w:rsid w:val="00BB0423"/>
    <w:rsid w:val="00BB1185"/>
    <w:rsid w:val="00BB17C8"/>
    <w:rsid w:val="00BB1CBD"/>
    <w:rsid w:val="00BB1EA8"/>
    <w:rsid w:val="00BB1FFA"/>
    <w:rsid w:val="00BB29E7"/>
    <w:rsid w:val="00BB2B1F"/>
    <w:rsid w:val="00BB2F0B"/>
    <w:rsid w:val="00BB3326"/>
    <w:rsid w:val="00BB36C5"/>
    <w:rsid w:val="00BB3A60"/>
    <w:rsid w:val="00BB4C56"/>
    <w:rsid w:val="00BB4CF1"/>
    <w:rsid w:val="00BB58CA"/>
    <w:rsid w:val="00BB5F6C"/>
    <w:rsid w:val="00BB60C3"/>
    <w:rsid w:val="00BB61B4"/>
    <w:rsid w:val="00BB63D7"/>
    <w:rsid w:val="00BB6796"/>
    <w:rsid w:val="00BB690D"/>
    <w:rsid w:val="00BB69B6"/>
    <w:rsid w:val="00BB6C88"/>
    <w:rsid w:val="00BB6ECF"/>
    <w:rsid w:val="00BB70B8"/>
    <w:rsid w:val="00BB74B3"/>
    <w:rsid w:val="00BB76A1"/>
    <w:rsid w:val="00BB777A"/>
    <w:rsid w:val="00BB7A45"/>
    <w:rsid w:val="00BB7C25"/>
    <w:rsid w:val="00BB7DDE"/>
    <w:rsid w:val="00BC08BD"/>
    <w:rsid w:val="00BC0B9D"/>
    <w:rsid w:val="00BC0DE1"/>
    <w:rsid w:val="00BC11CE"/>
    <w:rsid w:val="00BC1286"/>
    <w:rsid w:val="00BC1424"/>
    <w:rsid w:val="00BC162B"/>
    <w:rsid w:val="00BC1765"/>
    <w:rsid w:val="00BC1AF1"/>
    <w:rsid w:val="00BC1CC3"/>
    <w:rsid w:val="00BC1DFC"/>
    <w:rsid w:val="00BC21F3"/>
    <w:rsid w:val="00BC2243"/>
    <w:rsid w:val="00BC24FA"/>
    <w:rsid w:val="00BC28A7"/>
    <w:rsid w:val="00BC2A07"/>
    <w:rsid w:val="00BC2CA6"/>
    <w:rsid w:val="00BC30C1"/>
    <w:rsid w:val="00BC4299"/>
    <w:rsid w:val="00BC44A4"/>
    <w:rsid w:val="00BC475C"/>
    <w:rsid w:val="00BC47D8"/>
    <w:rsid w:val="00BC5454"/>
    <w:rsid w:val="00BC54F6"/>
    <w:rsid w:val="00BC58FB"/>
    <w:rsid w:val="00BC5961"/>
    <w:rsid w:val="00BC5FFD"/>
    <w:rsid w:val="00BC6342"/>
    <w:rsid w:val="00BC6437"/>
    <w:rsid w:val="00BC693E"/>
    <w:rsid w:val="00BC76B5"/>
    <w:rsid w:val="00BC76F1"/>
    <w:rsid w:val="00BC7CCA"/>
    <w:rsid w:val="00BC7DE7"/>
    <w:rsid w:val="00BC7DF8"/>
    <w:rsid w:val="00BD0152"/>
    <w:rsid w:val="00BD028F"/>
    <w:rsid w:val="00BD03C9"/>
    <w:rsid w:val="00BD0582"/>
    <w:rsid w:val="00BD07F4"/>
    <w:rsid w:val="00BD0FC3"/>
    <w:rsid w:val="00BD137C"/>
    <w:rsid w:val="00BD1693"/>
    <w:rsid w:val="00BD16D1"/>
    <w:rsid w:val="00BD219A"/>
    <w:rsid w:val="00BD249C"/>
    <w:rsid w:val="00BD2539"/>
    <w:rsid w:val="00BD26D8"/>
    <w:rsid w:val="00BD299D"/>
    <w:rsid w:val="00BD2C2C"/>
    <w:rsid w:val="00BD2C42"/>
    <w:rsid w:val="00BD2DE5"/>
    <w:rsid w:val="00BD307A"/>
    <w:rsid w:val="00BD3698"/>
    <w:rsid w:val="00BD4119"/>
    <w:rsid w:val="00BD44A4"/>
    <w:rsid w:val="00BD4655"/>
    <w:rsid w:val="00BD4D35"/>
    <w:rsid w:val="00BD523B"/>
    <w:rsid w:val="00BD544C"/>
    <w:rsid w:val="00BD55C0"/>
    <w:rsid w:val="00BD58F5"/>
    <w:rsid w:val="00BD5A88"/>
    <w:rsid w:val="00BD65E1"/>
    <w:rsid w:val="00BD67E1"/>
    <w:rsid w:val="00BD6A70"/>
    <w:rsid w:val="00BD6BF2"/>
    <w:rsid w:val="00BD6EF9"/>
    <w:rsid w:val="00BD754C"/>
    <w:rsid w:val="00BD772A"/>
    <w:rsid w:val="00BD7970"/>
    <w:rsid w:val="00BD7E1A"/>
    <w:rsid w:val="00BE0197"/>
    <w:rsid w:val="00BE02E5"/>
    <w:rsid w:val="00BE113F"/>
    <w:rsid w:val="00BE194D"/>
    <w:rsid w:val="00BE1C72"/>
    <w:rsid w:val="00BE1DDD"/>
    <w:rsid w:val="00BE1EB6"/>
    <w:rsid w:val="00BE2172"/>
    <w:rsid w:val="00BE235C"/>
    <w:rsid w:val="00BE29DD"/>
    <w:rsid w:val="00BE2AB1"/>
    <w:rsid w:val="00BE35C9"/>
    <w:rsid w:val="00BE394E"/>
    <w:rsid w:val="00BE3A79"/>
    <w:rsid w:val="00BE3B56"/>
    <w:rsid w:val="00BE3E86"/>
    <w:rsid w:val="00BE418C"/>
    <w:rsid w:val="00BE45F2"/>
    <w:rsid w:val="00BE4602"/>
    <w:rsid w:val="00BE4C3A"/>
    <w:rsid w:val="00BE576A"/>
    <w:rsid w:val="00BE5B3E"/>
    <w:rsid w:val="00BE5B5E"/>
    <w:rsid w:val="00BE6BD2"/>
    <w:rsid w:val="00BE6CFB"/>
    <w:rsid w:val="00BE72FD"/>
    <w:rsid w:val="00BE74D1"/>
    <w:rsid w:val="00BE7863"/>
    <w:rsid w:val="00BE786F"/>
    <w:rsid w:val="00BF07C0"/>
    <w:rsid w:val="00BF07F7"/>
    <w:rsid w:val="00BF0C38"/>
    <w:rsid w:val="00BF139F"/>
    <w:rsid w:val="00BF1728"/>
    <w:rsid w:val="00BF1EF8"/>
    <w:rsid w:val="00BF2674"/>
    <w:rsid w:val="00BF27BD"/>
    <w:rsid w:val="00BF2CE4"/>
    <w:rsid w:val="00BF2DE5"/>
    <w:rsid w:val="00BF2FCF"/>
    <w:rsid w:val="00BF32C6"/>
    <w:rsid w:val="00BF3C29"/>
    <w:rsid w:val="00BF41CE"/>
    <w:rsid w:val="00BF4283"/>
    <w:rsid w:val="00BF4339"/>
    <w:rsid w:val="00BF461B"/>
    <w:rsid w:val="00BF482A"/>
    <w:rsid w:val="00BF4856"/>
    <w:rsid w:val="00BF4AD7"/>
    <w:rsid w:val="00BF4C49"/>
    <w:rsid w:val="00BF5173"/>
    <w:rsid w:val="00BF5DA2"/>
    <w:rsid w:val="00BF5E36"/>
    <w:rsid w:val="00BF61B0"/>
    <w:rsid w:val="00BF623B"/>
    <w:rsid w:val="00BF6338"/>
    <w:rsid w:val="00BF6536"/>
    <w:rsid w:val="00BF6655"/>
    <w:rsid w:val="00BF6679"/>
    <w:rsid w:val="00BF6D56"/>
    <w:rsid w:val="00BF6EA4"/>
    <w:rsid w:val="00BF780C"/>
    <w:rsid w:val="00BF7DFA"/>
    <w:rsid w:val="00BF7E44"/>
    <w:rsid w:val="00C003F5"/>
    <w:rsid w:val="00C0079D"/>
    <w:rsid w:val="00C009DC"/>
    <w:rsid w:val="00C00D03"/>
    <w:rsid w:val="00C01151"/>
    <w:rsid w:val="00C017B2"/>
    <w:rsid w:val="00C01DD3"/>
    <w:rsid w:val="00C01DFC"/>
    <w:rsid w:val="00C02205"/>
    <w:rsid w:val="00C02396"/>
    <w:rsid w:val="00C0282B"/>
    <w:rsid w:val="00C0293A"/>
    <w:rsid w:val="00C02CA7"/>
    <w:rsid w:val="00C02E62"/>
    <w:rsid w:val="00C03D01"/>
    <w:rsid w:val="00C03EBD"/>
    <w:rsid w:val="00C04382"/>
    <w:rsid w:val="00C05343"/>
    <w:rsid w:val="00C05381"/>
    <w:rsid w:val="00C06023"/>
    <w:rsid w:val="00C0632A"/>
    <w:rsid w:val="00C067E0"/>
    <w:rsid w:val="00C06EEB"/>
    <w:rsid w:val="00C06EF0"/>
    <w:rsid w:val="00C0702E"/>
    <w:rsid w:val="00C074B8"/>
    <w:rsid w:val="00C075D0"/>
    <w:rsid w:val="00C07CD6"/>
    <w:rsid w:val="00C07E05"/>
    <w:rsid w:val="00C10192"/>
    <w:rsid w:val="00C1025D"/>
    <w:rsid w:val="00C103AB"/>
    <w:rsid w:val="00C103C8"/>
    <w:rsid w:val="00C10CEC"/>
    <w:rsid w:val="00C11131"/>
    <w:rsid w:val="00C11821"/>
    <w:rsid w:val="00C11EDA"/>
    <w:rsid w:val="00C12686"/>
    <w:rsid w:val="00C12CED"/>
    <w:rsid w:val="00C12D93"/>
    <w:rsid w:val="00C12EE2"/>
    <w:rsid w:val="00C13419"/>
    <w:rsid w:val="00C1365D"/>
    <w:rsid w:val="00C139DE"/>
    <w:rsid w:val="00C13B55"/>
    <w:rsid w:val="00C13C31"/>
    <w:rsid w:val="00C13C3F"/>
    <w:rsid w:val="00C13CBD"/>
    <w:rsid w:val="00C13DB6"/>
    <w:rsid w:val="00C142BD"/>
    <w:rsid w:val="00C148E5"/>
    <w:rsid w:val="00C14B57"/>
    <w:rsid w:val="00C14CDE"/>
    <w:rsid w:val="00C15473"/>
    <w:rsid w:val="00C159C1"/>
    <w:rsid w:val="00C15D34"/>
    <w:rsid w:val="00C1609D"/>
    <w:rsid w:val="00C16489"/>
    <w:rsid w:val="00C16848"/>
    <w:rsid w:val="00C168C0"/>
    <w:rsid w:val="00C16BF9"/>
    <w:rsid w:val="00C16F50"/>
    <w:rsid w:val="00C1711E"/>
    <w:rsid w:val="00C1746D"/>
    <w:rsid w:val="00C174C6"/>
    <w:rsid w:val="00C17E6E"/>
    <w:rsid w:val="00C2001A"/>
    <w:rsid w:val="00C20915"/>
    <w:rsid w:val="00C20C3D"/>
    <w:rsid w:val="00C2111F"/>
    <w:rsid w:val="00C2129B"/>
    <w:rsid w:val="00C21A06"/>
    <w:rsid w:val="00C21C4E"/>
    <w:rsid w:val="00C221D0"/>
    <w:rsid w:val="00C22269"/>
    <w:rsid w:val="00C22309"/>
    <w:rsid w:val="00C22C7C"/>
    <w:rsid w:val="00C23520"/>
    <w:rsid w:val="00C2366E"/>
    <w:rsid w:val="00C23E35"/>
    <w:rsid w:val="00C24097"/>
    <w:rsid w:val="00C24568"/>
    <w:rsid w:val="00C246D7"/>
    <w:rsid w:val="00C24D75"/>
    <w:rsid w:val="00C24DA9"/>
    <w:rsid w:val="00C24F12"/>
    <w:rsid w:val="00C24F98"/>
    <w:rsid w:val="00C25082"/>
    <w:rsid w:val="00C25260"/>
    <w:rsid w:val="00C25277"/>
    <w:rsid w:val="00C25E6A"/>
    <w:rsid w:val="00C25E7D"/>
    <w:rsid w:val="00C25F06"/>
    <w:rsid w:val="00C265D4"/>
    <w:rsid w:val="00C266C1"/>
    <w:rsid w:val="00C273AE"/>
    <w:rsid w:val="00C275FC"/>
    <w:rsid w:val="00C2789E"/>
    <w:rsid w:val="00C27920"/>
    <w:rsid w:val="00C27D57"/>
    <w:rsid w:val="00C27E01"/>
    <w:rsid w:val="00C30B3D"/>
    <w:rsid w:val="00C30C6A"/>
    <w:rsid w:val="00C30D84"/>
    <w:rsid w:val="00C3106E"/>
    <w:rsid w:val="00C313FD"/>
    <w:rsid w:val="00C3145E"/>
    <w:rsid w:val="00C315AE"/>
    <w:rsid w:val="00C3160C"/>
    <w:rsid w:val="00C317A7"/>
    <w:rsid w:val="00C31812"/>
    <w:rsid w:val="00C31EE1"/>
    <w:rsid w:val="00C32310"/>
    <w:rsid w:val="00C32450"/>
    <w:rsid w:val="00C33431"/>
    <w:rsid w:val="00C3360B"/>
    <w:rsid w:val="00C337A9"/>
    <w:rsid w:val="00C33AEC"/>
    <w:rsid w:val="00C341FB"/>
    <w:rsid w:val="00C34263"/>
    <w:rsid w:val="00C34536"/>
    <w:rsid w:val="00C34919"/>
    <w:rsid w:val="00C34CDD"/>
    <w:rsid w:val="00C3536E"/>
    <w:rsid w:val="00C35629"/>
    <w:rsid w:val="00C3608B"/>
    <w:rsid w:val="00C36203"/>
    <w:rsid w:val="00C36B2D"/>
    <w:rsid w:val="00C36E09"/>
    <w:rsid w:val="00C36EAF"/>
    <w:rsid w:val="00C37CDE"/>
    <w:rsid w:val="00C40256"/>
    <w:rsid w:val="00C40C58"/>
    <w:rsid w:val="00C40C6B"/>
    <w:rsid w:val="00C40E91"/>
    <w:rsid w:val="00C410D2"/>
    <w:rsid w:val="00C4116F"/>
    <w:rsid w:val="00C4140D"/>
    <w:rsid w:val="00C417CD"/>
    <w:rsid w:val="00C41AFB"/>
    <w:rsid w:val="00C41C08"/>
    <w:rsid w:val="00C42A78"/>
    <w:rsid w:val="00C42EAF"/>
    <w:rsid w:val="00C42FB2"/>
    <w:rsid w:val="00C433BA"/>
    <w:rsid w:val="00C435C8"/>
    <w:rsid w:val="00C437D6"/>
    <w:rsid w:val="00C43A7C"/>
    <w:rsid w:val="00C43AE6"/>
    <w:rsid w:val="00C43C0C"/>
    <w:rsid w:val="00C43E13"/>
    <w:rsid w:val="00C43E4C"/>
    <w:rsid w:val="00C4426C"/>
    <w:rsid w:val="00C4471A"/>
    <w:rsid w:val="00C44CC9"/>
    <w:rsid w:val="00C44FD9"/>
    <w:rsid w:val="00C45350"/>
    <w:rsid w:val="00C454D3"/>
    <w:rsid w:val="00C45DD1"/>
    <w:rsid w:val="00C45FDE"/>
    <w:rsid w:val="00C4601D"/>
    <w:rsid w:val="00C4698B"/>
    <w:rsid w:val="00C46C08"/>
    <w:rsid w:val="00C46FE3"/>
    <w:rsid w:val="00C473E7"/>
    <w:rsid w:val="00C47478"/>
    <w:rsid w:val="00C47BD2"/>
    <w:rsid w:val="00C507C3"/>
    <w:rsid w:val="00C50868"/>
    <w:rsid w:val="00C50DFC"/>
    <w:rsid w:val="00C51880"/>
    <w:rsid w:val="00C51FA8"/>
    <w:rsid w:val="00C51FF0"/>
    <w:rsid w:val="00C52782"/>
    <w:rsid w:val="00C52D4E"/>
    <w:rsid w:val="00C52F1B"/>
    <w:rsid w:val="00C5300F"/>
    <w:rsid w:val="00C53027"/>
    <w:rsid w:val="00C53EE2"/>
    <w:rsid w:val="00C54256"/>
    <w:rsid w:val="00C54377"/>
    <w:rsid w:val="00C54473"/>
    <w:rsid w:val="00C54549"/>
    <w:rsid w:val="00C557B4"/>
    <w:rsid w:val="00C55A79"/>
    <w:rsid w:val="00C55D94"/>
    <w:rsid w:val="00C57567"/>
    <w:rsid w:val="00C57582"/>
    <w:rsid w:val="00C6017A"/>
    <w:rsid w:val="00C6087E"/>
    <w:rsid w:val="00C608EF"/>
    <w:rsid w:val="00C60CB0"/>
    <w:rsid w:val="00C60FC1"/>
    <w:rsid w:val="00C60FF0"/>
    <w:rsid w:val="00C611A2"/>
    <w:rsid w:val="00C612BB"/>
    <w:rsid w:val="00C612BF"/>
    <w:rsid w:val="00C619EE"/>
    <w:rsid w:val="00C6207E"/>
    <w:rsid w:val="00C625C7"/>
    <w:rsid w:val="00C629C9"/>
    <w:rsid w:val="00C6339B"/>
    <w:rsid w:val="00C63770"/>
    <w:rsid w:val="00C644D9"/>
    <w:rsid w:val="00C64784"/>
    <w:rsid w:val="00C64AB1"/>
    <w:rsid w:val="00C64AD8"/>
    <w:rsid w:val="00C64FAE"/>
    <w:rsid w:val="00C65320"/>
    <w:rsid w:val="00C65CEF"/>
    <w:rsid w:val="00C66344"/>
    <w:rsid w:val="00C66679"/>
    <w:rsid w:val="00C66D4A"/>
    <w:rsid w:val="00C66E0E"/>
    <w:rsid w:val="00C67494"/>
    <w:rsid w:val="00C674F7"/>
    <w:rsid w:val="00C67955"/>
    <w:rsid w:val="00C67EEA"/>
    <w:rsid w:val="00C70074"/>
    <w:rsid w:val="00C70244"/>
    <w:rsid w:val="00C70341"/>
    <w:rsid w:val="00C70438"/>
    <w:rsid w:val="00C7089C"/>
    <w:rsid w:val="00C70918"/>
    <w:rsid w:val="00C70972"/>
    <w:rsid w:val="00C70EE7"/>
    <w:rsid w:val="00C716CF"/>
    <w:rsid w:val="00C71730"/>
    <w:rsid w:val="00C717CD"/>
    <w:rsid w:val="00C719A4"/>
    <w:rsid w:val="00C71AC2"/>
    <w:rsid w:val="00C725B9"/>
    <w:rsid w:val="00C726D0"/>
    <w:rsid w:val="00C72AE3"/>
    <w:rsid w:val="00C72F13"/>
    <w:rsid w:val="00C73402"/>
    <w:rsid w:val="00C73645"/>
    <w:rsid w:val="00C739BB"/>
    <w:rsid w:val="00C73D07"/>
    <w:rsid w:val="00C74144"/>
    <w:rsid w:val="00C745D7"/>
    <w:rsid w:val="00C74865"/>
    <w:rsid w:val="00C75196"/>
    <w:rsid w:val="00C75391"/>
    <w:rsid w:val="00C755C8"/>
    <w:rsid w:val="00C7584E"/>
    <w:rsid w:val="00C758E0"/>
    <w:rsid w:val="00C75A25"/>
    <w:rsid w:val="00C76125"/>
    <w:rsid w:val="00C76971"/>
    <w:rsid w:val="00C76C64"/>
    <w:rsid w:val="00C76D24"/>
    <w:rsid w:val="00C76DBB"/>
    <w:rsid w:val="00C7702A"/>
    <w:rsid w:val="00C771F7"/>
    <w:rsid w:val="00C773C8"/>
    <w:rsid w:val="00C77404"/>
    <w:rsid w:val="00C77707"/>
    <w:rsid w:val="00C777C4"/>
    <w:rsid w:val="00C8001E"/>
    <w:rsid w:val="00C807B9"/>
    <w:rsid w:val="00C80A25"/>
    <w:rsid w:val="00C80F34"/>
    <w:rsid w:val="00C8127C"/>
    <w:rsid w:val="00C817AF"/>
    <w:rsid w:val="00C817D1"/>
    <w:rsid w:val="00C81DB4"/>
    <w:rsid w:val="00C81DF7"/>
    <w:rsid w:val="00C82327"/>
    <w:rsid w:val="00C8240C"/>
    <w:rsid w:val="00C8242E"/>
    <w:rsid w:val="00C82758"/>
    <w:rsid w:val="00C828F3"/>
    <w:rsid w:val="00C82930"/>
    <w:rsid w:val="00C82A83"/>
    <w:rsid w:val="00C82A8A"/>
    <w:rsid w:val="00C82D33"/>
    <w:rsid w:val="00C8301A"/>
    <w:rsid w:val="00C832CE"/>
    <w:rsid w:val="00C83E34"/>
    <w:rsid w:val="00C83E74"/>
    <w:rsid w:val="00C83F15"/>
    <w:rsid w:val="00C84687"/>
    <w:rsid w:val="00C84FF2"/>
    <w:rsid w:val="00C85046"/>
    <w:rsid w:val="00C8531E"/>
    <w:rsid w:val="00C853A9"/>
    <w:rsid w:val="00C855FB"/>
    <w:rsid w:val="00C8572E"/>
    <w:rsid w:val="00C85B6C"/>
    <w:rsid w:val="00C85E1F"/>
    <w:rsid w:val="00C8604B"/>
    <w:rsid w:val="00C86BFE"/>
    <w:rsid w:val="00C86C72"/>
    <w:rsid w:val="00C86D8A"/>
    <w:rsid w:val="00C873ED"/>
    <w:rsid w:val="00C87F73"/>
    <w:rsid w:val="00C87F8D"/>
    <w:rsid w:val="00C900B0"/>
    <w:rsid w:val="00C90164"/>
    <w:rsid w:val="00C9019E"/>
    <w:rsid w:val="00C90231"/>
    <w:rsid w:val="00C9080B"/>
    <w:rsid w:val="00C90C4C"/>
    <w:rsid w:val="00C90D8A"/>
    <w:rsid w:val="00C90EF9"/>
    <w:rsid w:val="00C9108F"/>
    <w:rsid w:val="00C91749"/>
    <w:rsid w:val="00C92714"/>
    <w:rsid w:val="00C9286B"/>
    <w:rsid w:val="00C92949"/>
    <w:rsid w:val="00C92AB1"/>
    <w:rsid w:val="00C92B1A"/>
    <w:rsid w:val="00C9312F"/>
    <w:rsid w:val="00C933D8"/>
    <w:rsid w:val="00C93DE5"/>
    <w:rsid w:val="00C93E91"/>
    <w:rsid w:val="00C94024"/>
    <w:rsid w:val="00C9476C"/>
    <w:rsid w:val="00C94AD2"/>
    <w:rsid w:val="00C950CA"/>
    <w:rsid w:val="00C952BD"/>
    <w:rsid w:val="00C958E9"/>
    <w:rsid w:val="00C95BFF"/>
    <w:rsid w:val="00C95E24"/>
    <w:rsid w:val="00C95ED6"/>
    <w:rsid w:val="00C95FCC"/>
    <w:rsid w:val="00CA0D5F"/>
    <w:rsid w:val="00CA132A"/>
    <w:rsid w:val="00CA1379"/>
    <w:rsid w:val="00CA14DE"/>
    <w:rsid w:val="00CA1B03"/>
    <w:rsid w:val="00CA1DCF"/>
    <w:rsid w:val="00CA1FB0"/>
    <w:rsid w:val="00CA24D1"/>
    <w:rsid w:val="00CA27A0"/>
    <w:rsid w:val="00CA2A4A"/>
    <w:rsid w:val="00CA2C1F"/>
    <w:rsid w:val="00CA2E1D"/>
    <w:rsid w:val="00CA324D"/>
    <w:rsid w:val="00CA39CC"/>
    <w:rsid w:val="00CA4743"/>
    <w:rsid w:val="00CA48B2"/>
    <w:rsid w:val="00CA4B38"/>
    <w:rsid w:val="00CA5A8C"/>
    <w:rsid w:val="00CA6014"/>
    <w:rsid w:val="00CA6529"/>
    <w:rsid w:val="00CA6568"/>
    <w:rsid w:val="00CA65FC"/>
    <w:rsid w:val="00CA6B6A"/>
    <w:rsid w:val="00CA735E"/>
    <w:rsid w:val="00CA73DD"/>
    <w:rsid w:val="00CA7931"/>
    <w:rsid w:val="00CA7D8A"/>
    <w:rsid w:val="00CB0599"/>
    <w:rsid w:val="00CB0FFE"/>
    <w:rsid w:val="00CB10A6"/>
    <w:rsid w:val="00CB1162"/>
    <w:rsid w:val="00CB138F"/>
    <w:rsid w:val="00CB13E0"/>
    <w:rsid w:val="00CB171C"/>
    <w:rsid w:val="00CB185B"/>
    <w:rsid w:val="00CB1AD6"/>
    <w:rsid w:val="00CB1B42"/>
    <w:rsid w:val="00CB1C35"/>
    <w:rsid w:val="00CB2197"/>
    <w:rsid w:val="00CB248C"/>
    <w:rsid w:val="00CB254E"/>
    <w:rsid w:val="00CB25B9"/>
    <w:rsid w:val="00CB3934"/>
    <w:rsid w:val="00CB4046"/>
    <w:rsid w:val="00CB43FA"/>
    <w:rsid w:val="00CB4EF9"/>
    <w:rsid w:val="00CB50C5"/>
    <w:rsid w:val="00CB5A89"/>
    <w:rsid w:val="00CB5B31"/>
    <w:rsid w:val="00CB5BE7"/>
    <w:rsid w:val="00CB64D1"/>
    <w:rsid w:val="00CB6533"/>
    <w:rsid w:val="00CB6727"/>
    <w:rsid w:val="00CB6CB0"/>
    <w:rsid w:val="00CB712E"/>
    <w:rsid w:val="00CB7234"/>
    <w:rsid w:val="00CB76B8"/>
    <w:rsid w:val="00CB7703"/>
    <w:rsid w:val="00CB783B"/>
    <w:rsid w:val="00CB7FBA"/>
    <w:rsid w:val="00CC03B2"/>
    <w:rsid w:val="00CC05E6"/>
    <w:rsid w:val="00CC08B5"/>
    <w:rsid w:val="00CC0E6F"/>
    <w:rsid w:val="00CC1189"/>
    <w:rsid w:val="00CC11BB"/>
    <w:rsid w:val="00CC1247"/>
    <w:rsid w:val="00CC1F79"/>
    <w:rsid w:val="00CC23C0"/>
    <w:rsid w:val="00CC23C6"/>
    <w:rsid w:val="00CC24F9"/>
    <w:rsid w:val="00CC2803"/>
    <w:rsid w:val="00CC28D8"/>
    <w:rsid w:val="00CC3489"/>
    <w:rsid w:val="00CC3A68"/>
    <w:rsid w:val="00CC3E3F"/>
    <w:rsid w:val="00CC468B"/>
    <w:rsid w:val="00CC4B5B"/>
    <w:rsid w:val="00CC56AF"/>
    <w:rsid w:val="00CC5F61"/>
    <w:rsid w:val="00CC6423"/>
    <w:rsid w:val="00CC657C"/>
    <w:rsid w:val="00CC68D6"/>
    <w:rsid w:val="00CC6B0C"/>
    <w:rsid w:val="00CC707F"/>
    <w:rsid w:val="00CC74EB"/>
    <w:rsid w:val="00CC79CD"/>
    <w:rsid w:val="00CC7CC8"/>
    <w:rsid w:val="00CD06F8"/>
    <w:rsid w:val="00CD0761"/>
    <w:rsid w:val="00CD0AAD"/>
    <w:rsid w:val="00CD0CEE"/>
    <w:rsid w:val="00CD14AC"/>
    <w:rsid w:val="00CD15AC"/>
    <w:rsid w:val="00CD1841"/>
    <w:rsid w:val="00CD1BF1"/>
    <w:rsid w:val="00CD1C5D"/>
    <w:rsid w:val="00CD1CEF"/>
    <w:rsid w:val="00CD1E42"/>
    <w:rsid w:val="00CD1E74"/>
    <w:rsid w:val="00CD1F72"/>
    <w:rsid w:val="00CD2A3E"/>
    <w:rsid w:val="00CD2ED3"/>
    <w:rsid w:val="00CD31C1"/>
    <w:rsid w:val="00CD35F1"/>
    <w:rsid w:val="00CD4704"/>
    <w:rsid w:val="00CD4AE1"/>
    <w:rsid w:val="00CD4B3B"/>
    <w:rsid w:val="00CD4C9C"/>
    <w:rsid w:val="00CD5401"/>
    <w:rsid w:val="00CD5716"/>
    <w:rsid w:val="00CD58E8"/>
    <w:rsid w:val="00CD5927"/>
    <w:rsid w:val="00CD6524"/>
    <w:rsid w:val="00CD667B"/>
    <w:rsid w:val="00CD68DD"/>
    <w:rsid w:val="00CD6C24"/>
    <w:rsid w:val="00CD6C94"/>
    <w:rsid w:val="00CD6E13"/>
    <w:rsid w:val="00CD7649"/>
    <w:rsid w:val="00CD7715"/>
    <w:rsid w:val="00CD7760"/>
    <w:rsid w:val="00CD794A"/>
    <w:rsid w:val="00CD79F0"/>
    <w:rsid w:val="00CD7B8B"/>
    <w:rsid w:val="00CD7D8E"/>
    <w:rsid w:val="00CE0177"/>
    <w:rsid w:val="00CE04AB"/>
    <w:rsid w:val="00CE0513"/>
    <w:rsid w:val="00CE0578"/>
    <w:rsid w:val="00CE067F"/>
    <w:rsid w:val="00CE073C"/>
    <w:rsid w:val="00CE092A"/>
    <w:rsid w:val="00CE0AAE"/>
    <w:rsid w:val="00CE1374"/>
    <w:rsid w:val="00CE13DE"/>
    <w:rsid w:val="00CE16A7"/>
    <w:rsid w:val="00CE2B04"/>
    <w:rsid w:val="00CE3F20"/>
    <w:rsid w:val="00CE4055"/>
    <w:rsid w:val="00CE4270"/>
    <w:rsid w:val="00CE431C"/>
    <w:rsid w:val="00CE4396"/>
    <w:rsid w:val="00CE4582"/>
    <w:rsid w:val="00CE49FD"/>
    <w:rsid w:val="00CE4E5D"/>
    <w:rsid w:val="00CE4F18"/>
    <w:rsid w:val="00CE5298"/>
    <w:rsid w:val="00CE5803"/>
    <w:rsid w:val="00CE58EB"/>
    <w:rsid w:val="00CE596B"/>
    <w:rsid w:val="00CE5F0A"/>
    <w:rsid w:val="00CE643F"/>
    <w:rsid w:val="00CE681D"/>
    <w:rsid w:val="00CE6A32"/>
    <w:rsid w:val="00CE6CB4"/>
    <w:rsid w:val="00CE78C9"/>
    <w:rsid w:val="00CE7968"/>
    <w:rsid w:val="00CF091E"/>
    <w:rsid w:val="00CF0A69"/>
    <w:rsid w:val="00CF10F6"/>
    <w:rsid w:val="00CF1331"/>
    <w:rsid w:val="00CF15AC"/>
    <w:rsid w:val="00CF15E2"/>
    <w:rsid w:val="00CF16E4"/>
    <w:rsid w:val="00CF1E7E"/>
    <w:rsid w:val="00CF1F4A"/>
    <w:rsid w:val="00CF26A8"/>
    <w:rsid w:val="00CF3127"/>
    <w:rsid w:val="00CF35B2"/>
    <w:rsid w:val="00CF38D4"/>
    <w:rsid w:val="00CF3AB9"/>
    <w:rsid w:val="00CF3C86"/>
    <w:rsid w:val="00CF467B"/>
    <w:rsid w:val="00CF472E"/>
    <w:rsid w:val="00CF4D1E"/>
    <w:rsid w:val="00CF4D48"/>
    <w:rsid w:val="00CF4FEF"/>
    <w:rsid w:val="00CF50F7"/>
    <w:rsid w:val="00CF54F3"/>
    <w:rsid w:val="00CF5593"/>
    <w:rsid w:val="00CF5672"/>
    <w:rsid w:val="00CF5C9C"/>
    <w:rsid w:val="00CF5CAF"/>
    <w:rsid w:val="00CF5DEA"/>
    <w:rsid w:val="00CF5F7A"/>
    <w:rsid w:val="00CF60B2"/>
    <w:rsid w:val="00CF648A"/>
    <w:rsid w:val="00CF664A"/>
    <w:rsid w:val="00CF6BB9"/>
    <w:rsid w:val="00CF6DD6"/>
    <w:rsid w:val="00CF71A5"/>
    <w:rsid w:val="00CF79F1"/>
    <w:rsid w:val="00CF7CD8"/>
    <w:rsid w:val="00D00CED"/>
    <w:rsid w:val="00D00FDE"/>
    <w:rsid w:val="00D014F1"/>
    <w:rsid w:val="00D022D6"/>
    <w:rsid w:val="00D026EE"/>
    <w:rsid w:val="00D02876"/>
    <w:rsid w:val="00D028EB"/>
    <w:rsid w:val="00D029E9"/>
    <w:rsid w:val="00D02EBA"/>
    <w:rsid w:val="00D0316E"/>
    <w:rsid w:val="00D032E3"/>
    <w:rsid w:val="00D03342"/>
    <w:rsid w:val="00D034A8"/>
    <w:rsid w:val="00D03563"/>
    <w:rsid w:val="00D035C3"/>
    <w:rsid w:val="00D038CF"/>
    <w:rsid w:val="00D03F31"/>
    <w:rsid w:val="00D045FD"/>
    <w:rsid w:val="00D04AE4"/>
    <w:rsid w:val="00D04B78"/>
    <w:rsid w:val="00D0626B"/>
    <w:rsid w:val="00D06446"/>
    <w:rsid w:val="00D0774F"/>
    <w:rsid w:val="00D07DA6"/>
    <w:rsid w:val="00D10303"/>
    <w:rsid w:val="00D103E0"/>
    <w:rsid w:val="00D1060F"/>
    <w:rsid w:val="00D1140B"/>
    <w:rsid w:val="00D11757"/>
    <w:rsid w:val="00D11823"/>
    <w:rsid w:val="00D118F2"/>
    <w:rsid w:val="00D119B1"/>
    <w:rsid w:val="00D12371"/>
    <w:rsid w:val="00D12D32"/>
    <w:rsid w:val="00D12E0E"/>
    <w:rsid w:val="00D12F07"/>
    <w:rsid w:val="00D132C3"/>
    <w:rsid w:val="00D13444"/>
    <w:rsid w:val="00D13573"/>
    <w:rsid w:val="00D13887"/>
    <w:rsid w:val="00D13E24"/>
    <w:rsid w:val="00D14269"/>
    <w:rsid w:val="00D14494"/>
    <w:rsid w:val="00D1452D"/>
    <w:rsid w:val="00D148D1"/>
    <w:rsid w:val="00D149AD"/>
    <w:rsid w:val="00D14CD4"/>
    <w:rsid w:val="00D15416"/>
    <w:rsid w:val="00D159F8"/>
    <w:rsid w:val="00D161C1"/>
    <w:rsid w:val="00D1637D"/>
    <w:rsid w:val="00D16592"/>
    <w:rsid w:val="00D16CC4"/>
    <w:rsid w:val="00D16FDA"/>
    <w:rsid w:val="00D1713A"/>
    <w:rsid w:val="00D171C8"/>
    <w:rsid w:val="00D177DE"/>
    <w:rsid w:val="00D17AFC"/>
    <w:rsid w:val="00D17CFB"/>
    <w:rsid w:val="00D17CFC"/>
    <w:rsid w:val="00D17D1E"/>
    <w:rsid w:val="00D2009D"/>
    <w:rsid w:val="00D201DD"/>
    <w:rsid w:val="00D20486"/>
    <w:rsid w:val="00D2051D"/>
    <w:rsid w:val="00D20822"/>
    <w:rsid w:val="00D20F52"/>
    <w:rsid w:val="00D2110E"/>
    <w:rsid w:val="00D211EE"/>
    <w:rsid w:val="00D21842"/>
    <w:rsid w:val="00D21D35"/>
    <w:rsid w:val="00D21D89"/>
    <w:rsid w:val="00D22287"/>
    <w:rsid w:val="00D22567"/>
    <w:rsid w:val="00D226B9"/>
    <w:rsid w:val="00D23437"/>
    <w:rsid w:val="00D2381C"/>
    <w:rsid w:val="00D23842"/>
    <w:rsid w:val="00D23A94"/>
    <w:rsid w:val="00D23EC1"/>
    <w:rsid w:val="00D23F38"/>
    <w:rsid w:val="00D242E3"/>
    <w:rsid w:val="00D24346"/>
    <w:rsid w:val="00D244E1"/>
    <w:rsid w:val="00D2459A"/>
    <w:rsid w:val="00D246CC"/>
    <w:rsid w:val="00D24774"/>
    <w:rsid w:val="00D248D9"/>
    <w:rsid w:val="00D24957"/>
    <w:rsid w:val="00D24B50"/>
    <w:rsid w:val="00D24CD7"/>
    <w:rsid w:val="00D24D7B"/>
    <w:rsid w:val="00D2502F"/>
    <w:rsid w:val="00D25100"/>
    <w:rsid w:val="00D25450"/>
    <w:rsid w:val="00D25F3E"/>
    <w:rsid w:val="00D2632F"/>
    <w:rsid w:val="00D2654F"/>
    <w:rsid w:val="00D26A63"/>
    <w:rsid w:val="00D26C87"/>
    <w:rsid w:val="00D26CD4"/>
    <w:rsid w:val="00D26D53"/>
    <w:rsid w:val="00D27131"/>
    <w:rsid w:val="00D27908"/>
    <w:rsid w:val="00D27A6A"/>
    <w:rsid w:val="00D300F7"/>
    <w:rsid w:val="00D30336"/>
    <w:rsid w:val="00D30394"/>
    <w:rsid w:val="00D30796"/>
    <w:rsid w:val="00D31BBD"/>
    <w:rsid w:val="00D32104"/>
    <w:rsid w:val="00D329A0"/>
    <w:rsid w:val="00D32CE1"/>
    <w:rsid w:val="00D32E58"/>
    <w:rsid w:val="00D33010"/>
    <w:rsid w:val="00D330F1"/>
    <w:rsid w:val="00D33362"/>
    <w:rsid w:val="00D334CD"/>
    <w:rsid w:val="00D33534"/>
    <w:rsid w:val="00D3395C"/>
    <w:rsid w:val="00D34412"/>
    <w:rsid w:val="00D34AE4"/>
    <w:rsid w:val="00D34D6B"/>
    <w:rsid w:val="00D35572"/>
    <w:rsid w:val="00D35628"/>
    <w:rsid w:val="00D359FC"/>
    <w:rsid w:val="00D35BAA"/>
    <w:rsid w:val="00D36072"/>
    <w:rsid w:val="00D360E3"/>
    <w:rsid w:val="00D36122"/>
    <w:rsid w:val="00D36506"/>
    <w:rsid w:val="00D36DCC"/>
    <w:rsid w:val="00D36F7A"/>
    <w:rsid w:val="00D37361"/>
    <w:rsid w:val="00D37397"/>
    <w:rsid w:val="00D3756A"/>
    <w:rsid w:val="00D375DA"/>
    <w:rsid w:val="00D377AE"/>
    <w:rsid w:val="00D400D8"/>
    <w:rsid w:val="00D404B1"/>
    <w:rsid w:val="00D410FB"/>
    <w:rsid w:val="00D4113F"/>
    <w:rsid w:val="00D4119C"/>
    <w:rsid w:val="00D412B3"/>
    <w:rsid w:val="00D41378"/>
    <w:rsid w:val="00D41417"/>
    <w:rsid w:val="00D41616"/>
    <w:rsid w:val="00D41FE1"/>
    <w:rsid w:val="00D42A8E"/>
    <w:rsid w:val="00D42B1F"/>
    <w:rsid w:val="00D42CD9"/>
    <w:rsid w:val="00D42D2A"/>
    <w:rsid w:val="00D42DD3"/>
    <w:rsid w:val="00D438E1"/>
    <w:rsid w:val="00D43988"/>
    <w:rsid w:val="00D43A7E"/>
    <w:rsid w:val="00D43AC4"/>
    <w:rsid w:val="00D43B0E"/>
    <w:rsid w:val="00D44448"/>
    <w:rsid w:val="00D44869"/>
    <w:rsid w:val="00D44B46"/>
    <w:rsid w:val="00D44BDE"/>
    <w:rsid w:val="00D44E88"/>
    <w:rsid w:val="00D455C1"/>
    <w:rsid w:val="00D45B50"/>
    <w:rsid w:val="00D45CA8"/>
    <w:rsid w:val="00D46109"/>
    <w:rsid w:val="00D46673"/>
    <w:rsid w:val="00D4670C"/>
    <w:rsid w:val="00D4692A"/>
    <w:rsid w:val="00D46B49"/>
    <w:rsid w:val="00D46C3C"/>
    <w:rsid w:val="00D46D0E"/>
    <w:rsid w:val="00D46E71"/>
    <w:rsid w:val="00D4707E"/>
    <w:rsid w:val="00D4721D"/>
    <w:rsid w:val="00D47358"/>
    <w:rsid w:val="00D47867"/>
    <w:rsid w:val="00D47D6E"/>
    <w:rsid w:val="00D47E2C"/>
    <w:rsid w:val="00D47EAF"/>
    <w:rsid w:val="00D504F6"/>
    <w:rsid w:val="00D50C02"/>
    <w:rsid w:val="00D50E7A"/>
    <w:rsid w:val="00D51284"/>
    <w:rsid w:val="00D512EA"/>
    <w:rsid w:val="00D51552"/>
    <w:rsid w:val="00D51801"/>
    <w:rsid w:val="00D51B27"/>
    <w:rsid w:val="00D51F4A"/>
    <w:rsid w:val="00D5227E"/>
    <w:rsid w:val="00D52583"/>
    <w:rsid w:val="00D52D7F"/>
    <w:rsid w:val="00D52F8D"/>
    <w:rsid w:val="00D52FF8"/>
    <w:rsid w:val="00D53034"/>
    <w:rsid w:val="00D532F5"/>
    <w:rsid w:val="00D5331B"/>
    <w:rsid w:val="00D54373"/>
    <w:rsid w:val="00D545E9"/>
    <w:rsid w:val="00D547BC"/>
    <w:rsid w:val="00D547FA"/>
    <w:rsid w:val="00D54E43"/>
    <w:rsid w:val="00D54F28"/>
    <w:rsid w:val="00D54FCC"/>
    <w:rsid w:val="00D55023"/>
    <w:rsid w:val="00D5522A"/>
    <w:rsid w:val="00D5529D"/>
    <w:rsid w:val="00D554E0"/>
    <w:rsid w:val="00D559DA"/>
    <w:rsid w:val="00D55A05"/>
    <w:rsid w:val="00D55D24"/>
    <w:rsid w:val="00D55DDA"/>
    <w:rsid w:val="00D564A9"/>
    <w:rsid w:val="00D564EF"/>
    <w:rsid w:val="00D5676E"/>
    <w:rsid w:val="00D56CC4"/>
    <w:rsid w:val="00D56DB7"/>
    <w:rsid w:val="00D56F64"/>
    <w:rsid w:val="00D570FB"/>
    <w:rsid w:val="00D57447"/>
    <w:rsid w:val="00D57A21"/>
    <w:rsid w:val="00D605C1"/>
    <w:rsid w:val="00D60E3C"/>
    <w:rsid w:val="00D60FDA"/>
    <w:rsid w:val="00D613B2"/>
    <w:rsid w:val="00D61A9F"/>
    <w:rsid w:val="00D61EDD"/>
    <w:rsid w:val="00D628AF"/>
    <w:rsid w:val="00D6294B"/>
    <w:rsid w:val="00D62AF3"/>
    <w:rsid w:val="00D630BA"/>
    <w:rsid w:val="00D6353D"/>
    <w:rsid w:val="00D636CF"/>
    <w:rsid w:val="00D6429C"/>
    <w:rsid w:val="00D642D7"/>
    <w:rsid w:val="00D64490"/>
    <w:rsid w:val="00D64508"/>
    <w:rsid w:val="00D64A3D"/>
    <w:rsid w:val="00D65D91"/>
    <w:rsid w:val="00D662EE"/>
    <w:rsid w:val="00D66331"/>
    <w:rsid w:val="00D665DB"/>
    <w:rsid w:val="00D66697"/>
    <w:rsid w:val="00D66772"/>
    <w:rsid w:val="00D66ECC"/>
    <w:rsid w:val="00D66EDC"/>
    <w:rsid w:val="00D6751B"/>
    <w:rsid w:val="00D67684"/>
    <w:rsid w:val="00D67ACA"/>
    <w:rsid w:val="00D67EA8"/>
    <w:rsid w:val="00D67F69"/>
    <w:rsid w:val="00D70737"/>
    <w:rsid w:val="00D70E58"/>
    <w:rsid w:val="00D71103"/>
    <w:rsid w:val="00D71E5D"/>
    <w:rsid w:val="00D72420"/>
    <w:rsid w:val="00D72551"/>
    <w:rsid w:val="00D725C6"/>
    <w:rsid w:val="00D72748"/>
    <w:rsid w:val="00D727B9"/>
    <w:rsid w:val="00D72BED"/>
    <w:rsid w:val="00D72DF4"/>
    <w:rsid w:val="00D73302"/>
    <w:rsid w:val="00D7362F"/>
    <w:rsid w:val="00D73ADE"/>
    <w:rsid w:val="00D73AF1"/>
    <w:rsid w:val="00D73B41"/>
    <w:rsid w:val="00D73B4A"/>
    <w:rsid w:val="00D74504"/>
    <w:rsid w:val="00D74639"/>
    <w:rsid w:val="00D7490E"/>
    <w:rsid w:val="00D74B6F"/>
    <w:rsid w:val="00D74DAF"/>
    <w:rsid w:val="00D74F04"/>
    <w:rsid w:val="00D7551A"/>
    <w:rsid w:val="00D75BC3"/>
    <w:rsid w:val="00D75ECA"/>
    <w:rsid w:val="00D762C4"/>
    <w:rsid w:val="00D7674B"/>
    <w:rsid w:val="00D7764B"/>
    <w:rsid w:val="00D77EF0"/>
    <w:rsid w:val="00D77F35"/>
    <w:rsid w:val="00D800BC"/>
    <w:rsid w:val="00D8093F"/>
    <w:rsid w:val="00D809B7"/>
    <w:rsid w:val="00D8101C"/>
    <w:rsid w:val="00D810C4"/>
    <w:rsid w:val="00D813B0"/>
    <w:rsid w:val="00D8143E"/>
    <w:rsid w:val="00D81A57"/>
    <w:rsid w:val="00D81D6E"/>
    <w:rsid w:val="00D81FFC"/>
    <w:rsid w:val="00D82A4C"/>
    <w:rsid w:val="00D82E01"/>
    <w:rsid w:val="00D8371D"/>
    <w:rsid w:val="00D83A8B"/>
    <w:rsid w:val="00D83EF5"/>
    <w:rsid w:val="00D84061"/>
    <w:rsid w:val="00D8412D"/>
    <w:rsid w:val="00D844E7"/>
    <w:rsid w:val="00D8483A"/>
    <w:rsid w:val="00D84FA4"/>
    <w:rsid w:val="00D85083"/>
    <w:rsid w:val="00D851A0"/>
    <w:rsid w:val="00D85683"/>
    <w:rsid w:val="00D8682D"/>
    <w:rsid w:val="00D86B88"/>
    <w:rsid w:val="00D86B8C"/>
    <w:rsid w:val="00D87125"/>
    <w:rsid w:val="00D87145"/>
    <w:rsid w:val="00D87206"/>
    <w:rsid w:val="00D874FB"/>
    <w:rsid w:val="00D87776"/>
    <w:rsid w:val="00D9075A"/>
    <w:rsid w:val="00D908D7"/>
    <w:rsid w:val="00D909AD"/>
    <w:rsid w:val="00D90EC1"/>
    <w:rsid w:val="00D90F8A"/>
    <w:rsid w:val="00D91621"/>
    <w:rsid w:val="00D918C7"/>
    <w:rsid w:val="00D91B8F"/>
    <w:rsid w:val="00D92122"/>
    <w:rsid w:val="00D92CF0"/>
    <w:rsid w:val="00D930F2"/>
    <w:rsid w:val="00D93342"/>
    <w:rsid w:val="00D933D0"/>
    <w:rsid w:val="00D93415"/>
    <w:rsid w:val="00D9364E"/>
    <w:rsid w:val="00D94716"/>
    <w:rsid w:val="00D94D4B"/>
    <w:rsid w:val="00D94E0E"/>
    <w:rsid w:val="00D94F54"/>
    <w:rsid w:val="00D950AF"/>
    <w:rsid w:val="00D9545B"/>
    <w:rsid w:val="00D9553A"/>
    <w:rsid w:val="00D957EB"/>
    <w:rsid w:val="00D95BCF"/>
    <w:rsid w:val="00D95FC2"/>
    <w:rsid w:val="00D961EE"/>
    <w:rsid w:val="00D96655"/>
    <w:rsid w:val="00D97035"/>
    <w:rsid w:val="00D97077"/>
    <w:rsid w:val="00D971AA"/>
    <w:rsid w:val="00D97308"/>
    <w:rsid w:val="00D9740F"/>
    <w:rsid w:val="00D97A89"/>
    <w:rsid w:val="00D97BA1"/>
    <w:rsid w:val="00D97D8B"/>
    <w:rsid w:val="00DA09FC"/>
    <w:rsid w:val="00DA12C7"/>
    <w:rsid w:val="00DA1779"/>
    <w:rsid w:val="00DA1EE5"/>
    <w:rsid w:val="00DA263F"/>
    <w:rsid w:val="00DA2A54"/>
    <w:rsid w:val="00DA2B4B"/>
    <w:rsid w:val="00DA3D60"/>
    <w:rsid w:val="00DA44CF"/>
    <w:rsid w:val="00DA4578"/>
    <w:rsid w:val="00DA47B9"/>
    <w:rsid w:val="00DA4D1E"/>
    <w:rsid w:val="00DA51F4"/>
    <w:rsid w:val="00DA597A"/>
    <w:rsid w:val="00DA59D2"/>
    <w:rsid w:val="00DA5BD5"/>
    <w:rsid w:val="00DA60CB"/>
    <w:rsid w:val="00DA669D"/>
    <w:rsid w:val="00DA6E2E"/>
    <w:rsid w:val="00DA776F"/>
    <w:rsid w:val="00DA7B84"/>
    <w:rsid w:val="00DB0E46"/>
    <w:rsid w:val="00DB1749"/>
    <w:rsid w:val="00DB1FEA"/>
    <w:rsid w:val="00DB2B7E"/>
    <w:rsid w:val="00DB328A"/>
    <w:rsid w:val="00DB3386"/>
    <w:rsid w:val="00DB33D2"/>
    <w:rsid w:val="00DB3690"/>
    <w:rsid w:val="00DB36D2"/>
    <w:rsid w:val="00DB4099"/>
    <w:rsid w:val="00DB42F9"/>
    <w:rsid w:val="00DB44A6"/>
    <w:rsid w:val="00DB452C"/>
    <w:rsid w:val="00DB476D"/>
    <w:rsid w:val="00DB47C5"/>
    <w:rsid w:val="00DB4D88"/>
    <w:rsid w:val="00DB53CD"/>
    <w:rsid w:val="00DB553A"/>
    <w:rsid w:val="00DB5719"/>
    <w:rsid w:val="00DB5D19"/>
    <w:rsid w:val="00DB5E4A"/>
    <w:rsid w:val="00DB6042"/>
    <w:rsid w:val="00DB624E"/>
    <w:rsid w:val="00DB6272"/>
    <w:rsid w:val="00DB646B"/>
    <w:rsid w:val="00DB673F"/>
    <w:rsid w:val="00DB6888"/>
    <w:rsid w:val="00DB6CF5"/>
    <w:rsid w:val="00DB7A4B"/>
    <w:rsid w:val="00DB7C78"/>
    <w:rsid w:val="00DC02EA"/>
    <w:rsid w:val="00DC0A52"/>
    <w:rsid w:val="00DC0B0A"/>
    <w:rsid w:val="00DC0BDC"/>
    <w:rsid w:val="00DC0E65"/>
    <w:rsid w:val="00DC0F49"/>
    <w:rsid w:val="00DC1103"/>
    <w:rsid w:val="00DC1117"/>
    <w:rsid w:val="00DC1134"/>
    <w:rsid w:val="00DC13E6"/>
    <w:rsid w:val="00DC1CA6"/>
    <w:rsid w:val="00DC20CF"/>
    <w:rsid w:val="00DC224D"/>
    <w:rsid w:val="00DC2259"/>
    <w:rsid w:val="00DC2623"/>
    <w:rsid w:val="00DC2B85"/>
    <w:rsid w:val="00DC2E59"/>
    <w:rsid w:val="00DC2FC1"/>
    <w:rsid w:val="00DC30AE"/>
    <w:rsid w:val="00DC31CC"/>
    <w:rsid w:val="00DC32E4"/>
    <w:rsid w:val="00DC37FD"/>
    <w:rsid w:val="00DC3A8D"/>
    <w:rsid w:val="00DC3D34"/>
    <w:rsid w:val="00DC4015"/>
    <w:rsid w:val="00DC4BFD"/>
    <w:rsid w:val="00DC4E22"/>
    <w:rsid w:val="00DC4FE5"/>
    <w:rsid w:val="00DC59AE"/>
    <w:rsid w:val="00DC6153"/>
    <w:rsid w:val="00DC6E61"/>
    <w:rsid w:val="00DC7002"/>
    <w:rsid w:val="00DC76C3"/>
    <w:rsid w:val="00DC77BF"/>
    <w:rsid w:val="00DC7A5D"/>
    <w:rsid w:val="00DC7BDA"/>
    <w:rsid w:val="00DC7E69"/>
    <w:rsid w:val="00DC7FC9"/>
    <w:rsid w:val="00DD02C0"/>
    <w:rsid w:val="00DD0DCC"/>
    <w:rsid w:val="00DD17CE"/>
    <w:rsid w:val="00DD1B83"/>
    <w:rsid w:val="00DD1EC6"/>
    <w:rsid w:val="00DD2821"/>
    <w:rsid w:val="00DD2BAF"/>
    <w:rsid w:val="00DD2E32"/>
    <w:rsid w:val="00DD3308"/>
    <w:rsid w:val="00DD3316"/>
    <w:rsid w:val="00DD3593"/>
    <w:rsid w:val="00DD36A1"/>
    <w:rsid w:val="00DD38FE"/>
    <w:rsid w:val="00DD3BB8"/>
    <w:rsid w:val="00DD40BA"/>
    <w:rsid w:val="00DD40D7"/>
    <w:rsid w:val="00DD414F"/>
    <w:rsid w:val="00DD42D8"/>
    <w:rsid w:val="00DD460E"/>
    <w:rsid w:val="00DD4CD0"/>
    <w:rsid w:val="00DD4F5E"/>
    <w:rsid w:val="00DD5286"/>
    <w:rsid w:val="00DD5ADD"/>
    <w:rsid w:val="00DD5E57"/>
    <w:rsid w:val="00DD606B"/>
    <w:rsid w:val="00DD6DFD"/>
    <w:rsid w:val="00DD6E32"/>
    <w:rsid w:val="00DD70A2"/>
    <w:rsid w:val="00DD7695"/>
    <w:rsid w:val="00DE02B8"/>
    <w:rsid w:val="00DE02BE"/>
    <w:rsid w:val="00DE146E"/>
    <w:rsid w:val="00DE192E"/>
    <w:rsid w:val="00DE1B0C"/>
    <w:rsid w:val="00DE2B78"/>
    <w:rsid w:val="00DE3385"/>
    <w:rsid w:val="00DE340E"/>
    <w:rsid w:val="00DE3554"/>
    <w:rsid w:val="00DE3609"/>
    <w:rsid w:val="00DE38A1"/>
    <w:rsid w:val="00DE4502"/>
    <w:rsid w:val="00DE4638"/>
    <w:rsid w:val="00DE4651"/>
    <w:rsid w:val="00DE4983"/>
    <w:rsid w:val="00DE5501"/>
    <w:rsid w:val="00DE6149"/>
    <w:rsid w:val="00DE6569"/>
    <w:rsid w:val="00DE66D7"/>
    <w:rsid w:val="00DE6A04"/>
    <w:rsid w:val="00DE6AAE"/>
    <w:rsid w:val="00DE6CE0"/>
    <w:rsid w:val="00DE7265"/>
    <w:rsid w:val="00DE7525"/>
    <w:rsid w:val="00DE78F2"/>
    <w:rsid w:val="00DE7BDC"/>
    <w:rsid w:val="00DF048D"/>
    <w:rsid w:val="00DF1251"/>
    <w:rsid w:val="00DF1298"/>
    <w:rsid w:val="00DF13AC"/>
    <w:rsid w:val="00DF16EB"/>
    <w:rsid w:val="00DF1791"/>
    <w:rsid w:val="00DF1AD3"/>
    <w:rsid w:val="00DF1C8D"/>
    <w:rsid w:val="00DF22C0"/>
    <w:rsid w:val="00DF2353"/>
    <w:rsid w:val="00DF28EB"/>
    <w:rsid w:val="00DF2C54"/>
    <w:rsid w:val="00DF3837"/>
    <w:rsid w:val="00DF3AB2"/>
    <w:rsid w:val="00DF49D8"/>
    <w:rsid w:val="00DF6677"/>
    <w:rsid w:val="00DF6FBC"/>
    <w:rsid w:val="00DF78B2"/>
    <w:rsid w:val="00DF7BEA"/>
    <w:rsid w:val="00DF7DD5"/>
    <w:rsid w:val="00DF7ED4"/>
    <w:rsid w:val="00E0004C"/>
    <w:rsid w:val="00E0054D"/>
    <w:rsid w:val="00E00868"/>
    <w:rsid w:val="00E00898"/>
    <w:rsid w:val="00E01CB2"/>
    <w:rsid w:val="00E01D40"/>
    <w:rsid w:val="00E01D44"/>
    <w:rsid w:val="00E01DD2"/>
    <w:rsid w:val="00E020A9"/>
    <w:rsid w:val="00E02546"/>
    <w:rsid w:val="00E0272B"/>
    <w:rsid w:val="00E0274F"/>
    <w:rsid w:val="00E02CFF"/>
    <w:rsid w:val="00E02E2F"/>
    <w:rsid w:val="00E03343"/>
    <w:rsid w:val="00E03938"/>
    <w:rsid w:val="00E03CBD"/>
    <w:rsid w:val="00E03D4C"/>
    <w:rsid w:val="00E03E89"/>
    <w:rsid w:val="00E04877"/>
    <w:rsid w:val="00E04C45"/>
    <w:rsid w:val="00E04D1C"/>
    <w:rsid w:val="00E05681"/>
    <w:rsid w:val="00E0576B"/>
    <w:rsid w:val="00E058EB"/>
    <w:rsid w:val="00E05A89"/>
    <w:rsid w:val="00E05FA9"/>
    <w:rsid w:val="00E0628E"/>
    <w:rsid w:val="00E06460"/>
    <w:rsid w:val="00E06826"/>
    <w:rsid w:val="00E0689E"/>
    <w:rsid w:val="00E06BC4"/>
    <w:rsid w:val="00E06FD3"/>
    <w:rsid w:val="00E0717C"/>
    <w:rsid w:val="00E073CF"/>
    <w:rsid w:val="00E07844"/>
    <w:rsid w:val="00E07BA5"/>
    <w:rsid w:val="00E07F31"/>
    <w:rsid w:val="00E07FA0"/>
    <w:rsid w:val="00E103E5"/>
    <w:rsid w:val="00E10C42"/>
    <w:rsid w:val="00E10FC4"/>
    <w:rsid w:val="00E1132A"/>
    <w:rsid w:val="00E11370"/>
    <w:rsid w:val="00E114C0"/>
    <w:rsid w:val="00E11C13"/>
    <w:rsid w:val="00E11DB1"/>
    <w:rsid w:val="00E11F04"/>
    <w:rsid w:val="00E12535"/>
    <w:rsid w:val="00E12D4A"/>
    <w:rsid w:val="00E12D89"/>
    <w:rsid w:val="00E13167"/>
    <w:rsid w:val="00E132D0"/>
    <w:rsid w:val="00E1340B"/>
    <w:rsid w:val="00E13999"/>
    <w:rsid w:val="00E13EF3"/>
    <w:rsid w:val="00E14108"/>
    <w:rsid w:val="00E14793"/>
    <w:rsid w:val="00E1493B"/>
    <w:rsid w:val="00E149D3"/>
    <w:rsid w:val="00E14DD8"/>
    <w:rsid w:val="00E14EE9"/>
    <w:rsid w:val="00E14F62"/>
    <w:rsid w:val="00E15082"/>
    <w:rsid w:val="00E15217"/>
    <w:rsid w:val="00E15282"/>
    <w:rsid w:val="00E1557E"/>
    <w:rsid w:val="00E15917"/>
    <w:rsid w:val="00E15F3D"/>
    <w:rsid w:val="00E160AD"/>
    <w:rsid w:val="00E161AD"/>
    <w:rsid w:val="00E1670B"/>
    <w:rsid w:val="00E167DB"/>
    <w:rsid w:val="00E16819"/>
    <w:rsid w:val="00E16B82"/>
    <w:rsid w:val="00E16D18"/>
    <w:rsid w:val="00E16E3C"/>
    <w:rsid w:val="00E17050"/>
    <w:rsid w:val="00E17096"/>
    <w:rsid w:val="00E174F3"/>
    <w:rsid w:val="00E17DB2"/>
    <w:rsid w:val="00E17F53"/>
    <w:rsid w:val="00E211FF"/>
    <w:rsid w:val="00E21463"/>
    <w:rsid w:val="00E21479"/>
    <w:rsid w:val="00E21BA1"/>
    <w:rsid w:val="00E21DB7"/>
    <w:rsid w:val="00E2256E"/>
    <w:rsid w:val="00E24195"/>
    <w:rsid w:val="00E24567"/>
    <w:rsid w:val="00E25124"/>
    <w:rsid w:val="00E2519A"/>
    <w:rsid w:val="00E25239"/>
    <w:rsid w:val="00E25A4F"/>
    <w:rsid w:val="00E261F8"/>
    <w:rsid w:val="00E2664B"/>
    <w:rsid w:val="00E268EB"/>
    <w:rsid w:val="00E26973"/>
    <w:rsid w:val="00E26E57"/>
    <w:rsid w:val="00E27154"/>
    <w:rsid w:val="00E27467"/>
    <w:rsid w:val="00E277B5"/>
    <w:rsid w:val="00E27B46"/>
    <w:rsid w:val="00E30261"/>
    <w:rsid w:val="00E302E2"/>
    <w:rsid w:val="00E303A9"/>
    <w:rsid w:val="00E3043D"/>
    <w:rsid w:val="00E30560"/>
    <w:rsid w:val="00E30628"/>
    <w:rsid w:val="00E30883"/>
    <w:rsid w:val="00E30925"/>
    <w:rsid w:val="00E31251"/>
    <w:rsid w:val="00E31476"/>
    <w:rsid w:val="00E31984"/>
    <w:rsid w:val="00E32231"/>
    <w:rsid w:val="00E324AD"/>
    <w:rsid w:val="00E32F9A"/>
    <w:rsid w:val="00E333C5"/>
    <w:rsid w:val="00E333FB"/>
    <w:rsid w:val="00E3342D"/>
    <w:rsid w:val="00E33683"/>
    <w:rsid w:val="00E33734"/>
    <w:rsid w:val="00E33C47"/>
    <w:rsid w:val="00E33C7F"/>
    <w:rsid w:val="00E33EE3"/>
    <w:rsid w:val="00E3440F"/>
    <w:rsid w:val="00E34551"/>
    <w:rsid w:val="00E347F0"/>
    <w:rsid w:val="00E35085"/>
    <w:rsid w:val="00E35094"/>
    <w:rsid w:val="00E35693"/>
    <w:rsid w:val="00E356FF"/>
    <w:rsid w:val="00E3584D"/>
    <w:rsid w:val="00E36420"/>
    <w:rsid w:val="00E36CFA"/>
    <w:rsid w:val="00E36EB2"/>
    <w:rsid w:val="00E36F56"/>
    <w:rsid w:val="00E370E4"/>
    <w:rsid w:val="00E374FC"/>
    <w:rsid w:val="00E377A0"/>
    <w:rsid w:val="00E4060A"/>
    <w:rsid w:val="00E4083B"/>
    <w:rsid w:val="00E40AEB"/>
    <w:rsid w:val="00E40F9D"/>
    <w:rsid w:val="00E41017"/>
    <w:rsid w:val="00E411FE"/>
    <w:rsid w:val="00E4122C"/>
    <w:rsid w:val="00E417D0"/>
    <w:rsid w:val="00E418F1"/>
    <w:rsid w:val="00E41DA9"/>
    <w:rsid w:val="00E41F93"/>
    <w:rsid w:val="00E422C4"/>
    <w:rsid w:val="00E429EC"/>
    <w:rsid w:val="00E42BA3"/>
    <w:rsid w:val="00E43330"/>
    <w:rsid w:val="00E4341C"/>
    <w:rsid w:val="00E43634"/>
    <w:rsid w:val="00E43666"/>
    <w:rsid w:val="00E43826"/>
    <w:rsid w:val="00E439F8"/>
    <w:rsid w:val="00E43AD8"/>
    <w:rsid w:val="00E43DC4"/>
    <w:rsid w:val="00E43DF0"/>
    <w:rsid w:val="00E440AE"/>
    <w:rsid w:val="00E4431C"/>
    <w:rsid w:val="00E44672"/>
    <w:rsid w:val="00E4494D"/>
    <w:rsid w:val="00E449F6"/>
    <w:rsid w:val="00E44CD4"/>
    <w:rsid w:val="00E450A6"/>
    <w:rsid w:val="00E455AB"/>
    <w:rsid w:val="00E458BD"/>
    <w:rsid w:val="00E45B91"/>
    <w:rsid w:val="00E467D5"/>
    <w:rsid w:val="00E46B50"/>
    <w:rsid w:val="00E46B92"/>
    <w:rsid w:val="00E46C57"/>
    <w:rsid w:val="00E46D9B"/>
    <w:rsid w:val="00E472E9"/>
    <w:rsid w:val="00E47385"/>
    <w:rsid w:val="00E47857"/>
    <w:rsid w:val="00E47F67"/>
    <w:rsid w:val="00E50342"/>
    <w:rsid w:val="00E50533"/>
    <w:rsid w:val="00E50570"/>
    <w:rsid w:val="00E508F6"/>
    <w:rsid w:val="00E50D34"/>
    <w:rsid w:val="00E50F7B"/>
    <w:rsid w:val="00E51467"/>
    <w:rsid w:val="00E5176B"/>
    <w:rsid w:val="00E51B5D"/>
    <w:rsid w:val="00E51CB9"/>
    <w:rsid w:val="00E528BA"/>
    <w:rsid w:val="00E53671"/>
    <w:rsid w:val="00E536E6"/>
    <w:rsid w:val="00E539CD"/>
    <w:rsid w:val="00E53CAB"/>
    <w:rsid w:val="00E53D6A"/>
    <w:rsid w:val="00E540EA"/>
    <w:rsid w:val="00E54329"/>
    <w:rsid w:val="00E5446B"/>
    <w:rsid w:val="00E55339"/>
    <w:rsid w:val="00E55538"/>
    <w:rsid w:val="00E55A27"/>
    <w:rsid w:val="00E55ADF"/>
    <w:rsid w:val="00E565C2"/>
    <w:rsid w:val="00E5682A"/>
    <w:rsid w:val="00E56CAB"/>
    <w:rsid w:val="00E56E95"/>
    <w:rsid w:val="00E56ECC"/>
    <w:rsid w:val="00E56F7E"/>
    <w:rsid w:val="00E5731F"/>
    <w:rsid w:val="00E5773B"/>
    <w:rsid w:val="00E57881"/>
    <w:rsid w:val="00E57F05"/>
    <w:rsid w:val="00E57F9B"/>
    <w:rsid w:val="00E6002F"/>
    <w:rsid w:val="00E60117"/>
    <w:rsid w:val="00E60269"/>
    <w:rsid w:val="00E60586"/>
    <w:rsid w:val="00E6073C"/>
    <w:rsid w:val="00E60C32"/>
    <w:rsid w:val="00E60CF1"/>
    <w:rsid w:val="00E616A2"/>
    <w:rsid w:val="00E627F6"/>
    <w:rsid w:val="00E62907"/>
    <w:rsid w:val="00E632C3"/>
    <w:rsid w:val="00E6332C"/>
    <w:rsid w:val="00E63398"/>
    <w:rsid w:val="00E639C3"/>
    <w:rsid w:val="00E63E77"/>
    <w:rsid w:val="00E63E8A"/>
    <w:rsid w:val="00E63F1D"/>
    <w:rsid w:val="00E64156"/>
    <w:rsid w:val="00E64364"/>
    <w:rsid w:val="00E64536"/>
    <w:rsid w:val="00E645EC"/>
    <w:rsid w:val="00E646D5"/>
    <w:rsid w:val="00E64A75"/>
    <w:rsid w:val="00E64B1B"/>
    <w:rsid w:val="00E64CF7"/>
    <w:rsid w:val="00E64D52"/>
    <w:rsid w:val="00E65779"/>
    <w:rsid w:val="00E65C24"/>
    <w:rsid w:val="00E6602D"/>
    <w:rsid w:val="00E6603D"/>
    <w:rsid w:val="00E672A9"/>
    <w:rsid w:val="00E67336"/>
    <w:rsid w:val="00E67343"/>
    <w:rsid w:val="00E67D47"/>
    <w:rsid w:val="00E67D98"/>
    <w:rsid w:val="00E67E86"/>
    <w:rsid w:val="00E67FB5"/>
    <w:rsid w:val="00E7009F"/>
    <w:rsid w:val="00E70752"/>
    <w:rsid w:val="00E7153E"/>
    <w:rsid w:val="00E715B4"/>
    <w:rsid w:val="00E71650"/>
    <w:rsid w:val="00E71708"/>
    <w:rsid w:val="00E71C21"/>
    <w:rsid w:val="00E71DD6"/>
    <w:rsid w:val="00E72A7F"/>
    <w:rsid w:val="00E72B2A"/>
    <w:rsid w:val="00E72EC2"/>
    <w:rsid w:val="00E73243"/>
    <w:rsid w:val="00E735DE"/>
    <w:rsid w:val="00E7372A"/>
    <w:rsid w:val="00E742E5"/>
    <w:rsid w:val="00E74926"/>
    <w:rsid w:val="00E7506D"/>
    <w:rsid w:val="00E752A1"/>
    <w:rsid w:val="00E753AA"/>
    <w:rsid w:val="00E75406"/>
    <w:rsid w:val="00E75686"/>
    <w:rsid w:val="00E75A9D"/>
    <w:rsid w:val="00E75C6F"/>
    <w:rsid w:val="00E75E7C"/>
    <w:rsid w:val="00E75F2E"/>
    <w:rsid w:val="00E761FB"/>
    <w:rsid w:val="00E76513"/>
    <w:rsid w:val="00E769CD"/>
    <w:rsid w:val="00E76A32"/>
    <w:rsid w:val="00E76C5E"/>
    <w:rsid w:val="00E7799A"/>
    <w:rsid w:val="00E779DD"/>
    <w:rsid w:val="00E803C3"/>
    <w:rsid w:val="00E804F1"/>
    <w:rsid w:val="00E80872"/>
    <w:rsid w:val="00E80EFB"/>
    <w:rsid w:val="00E81274"/>
    <w:rsid w:val="00E8183A"/>
    <w:rsid w:val="00E81B34"/>
    <w:rsid w:val="00E81B8E"/>
    <w:rsid w:val="00E81EBF"/>
    <w:rsid w:val="00E81ED7"/>
    <w:rsid w:val="00E81FC2"/>
    <w:rsid w:val="00E8219D"/>
    <w:rsid w:val="00E825C6"/>
    <w:rsid w:val="00E82941"/>
    <w:rsid w:val="00E8325A"/>
    <w:rsid w:val="00E83371"/>
    <w:rsid w:val="00E833F3"/>
    <w:rsid w:val="00E8377F"/>
    <w:rsid w:val="00E84955"/>
    <w:rsid w:val="00E8543E"/>
    <w:rsid w:val="00E855CE"/>
    <w:rsid w:val="00E856B7"/>
    <w:rsid w:val="00E8582C"/>
    <w:rsid w:val="00E85938"/>
    <w:rsid w:val="00E85EA7"/>
    <w:rsid w:val="00E8607A"/>
    <w:rsid w:val="00E8623F"/>
    <w:rsid w:val="00E86ED8"/>
    <w:rsid w:val="00E86F11"/>
    <w:rsid w:val="00E8704B"/>
    <w:rsid w:val="00E87631"/>
    <w:rsid w:val="00E878BE"/>
    <w:rsid w:val="00E87B3E"/>
    <w:rsid w:val="00E87B69"/>
    <w:rsid w:val="00E87D52"/>
    <w:rsid w:val="00E87F00"/>
    <w:rsid w:val="00E87F4D"/>
    <w:rsid w:val="00E90555"/>
    <w:rsid w:val="00E907BE"/>
    <w:rsid w:val="00E90C23"/>
    <w:rsid w:val="00E9110E"/>
    <w:rsid w:val="00E9176F"/>
    <w:rsid w:val="00E91942"/>
    <w:rsid w:val="00E919FB"/>
    <w:rsid w:val="00E91A9A"/>
    <w:rsid w:val="00E91CBA"/>
    <w:rsid w:val="00E91D54"/>
    <w:rsid w:val="00E91FBA"/>
    <w:rsid w:val="00E9222C"/>
    <w:rsid w:val="00E92248"/>
    <w:rsid w:val="00E9229E"/>
    <w:rsid w:val="00E924CC"/>
    <w:rsid w:val="00E925E4"/>
    <w:rsid w:val="00E92F79"/>
    <w:rsid w:val="00E933EB"/>
    <w:rsid w:val="00E937CF"/>
    <w:rsid w:val="00E9427A"/>
    <w:rsid w:val="00E94308"/>
    <w:rsid w:val="00E9439E"/>
    <w:rsid w:val="00E947F9"/>
    <w:rsid w:val="00E94989"/>
    <w:rsid w:val="00E9522B"/>
    <w:rsid w:val="00E9558B"/>
    <w:rsid w:val="00E95877"/>
    <w:rsid w:val="00E95D1B"/>
    <w:rsid w:val="00E9621B"/>
    <w:rsid w:val="00E9623E"/>
    <w:rsid w:val="00E9649D"/>
    <w:rsid w:val="00E969F0"/>
    <w:rsid w:val="00E97020"/>
    <w:rsid w:val="00E972E2"/>
    <w:rsid w:val="00E977FD"/>
    <w:rsid w:val="00EA06D7"/>
    <w:rsid w:val="00EA09FE"/>
    <w:rsid w:val="00EA0A92"/>
    <w:rsid w:val="00EA0A9B"/>
    <w:rsid w:val="00EA0B1A"/>
    <w:rsid w:val="00EA0C1B"/>
    <w:rsid w:val="00EA0D79"/>
    <w:rsid w:val="00EA0DF8"/>
    <w:rsid w:val="00EA175D"/>
    <w:rsid w:val="00EA1886"/>
    <w:rsid w:val="00EA210C"/>
    <w:rsid w:val="00EA2523"/>
    <w:rsid w:val="00EA26E0"/>
    <w:rsid w:val="00EA28AF"/>
    <w:rsid w:val="00EA2EFA"/>
    <w:rsid w:val="00EA32BF"/>
    <w:rsid w:val="00EA3852"/>
    <w:rsid w:val="00EA50D6"/>
    <w:rsid w:val="00EA5514"/>
    <w:rsid w:val="00EA56FD"/>
    <w:rsid w:val="00EA5714"/>
    <w:rsid w:val="00EA5C38"/>
    <w:rsid w:val="00EA5E49"/>
    <w:rsid w:val="00EA679F"/>
    <w:rsid w:val="00EA69EF"/>
    <w:rsid w:val="00EA7070"/>
    <w:rsid w:val="00EA7662"/>
    <w:rsid w:val="00EA7B29"/>
    <w:rsid w:val="00EB016F"/>
    <w:rsid w:val="00EB04FD"/>
    <w:rsid w:val="00EB0635"/>
    <w:rsid w:val="00EB06EB"/>
    <w:rsid w:val="00EB0798"/>
    <w:rsid w:val="00EB0B50"/>
    <w:rsid w:val="00EB0BDD"/>
    <w:rsid w:val="00EB0C4A"/>
    <w:rsid w:val="00EB13E0"/>
    <w:rsid w:val="00EB1A92"/>
    <w:rsid w:val="00EB2045"/>
    <w:rsid w:val="00EB222C"/>
    <w:rsid w:val="00EB2634"/>
    <w:rsid w:val="00EB2A4D"/>
    <w:rsid w:val="00EB33F4"/>
    <w:rsid w:val="00EB3B9C"/>
    <w:rsid w:val="00EB3C8F"/>
    <w:rsid w:val="00EB3CA2"/>
    <w:rsid w:val="00EB4242"/>
    <w:rsid w:val="00EB4C04"/>
    <w:rsid w:val="00EB4CA7"/>
    <w:rsid w:val="00EB4D10"/>
    <w:rsid w:val="00EB5B9E"/>
    <w:rsid w:val="00EB5E24"/>
    <w:rsid w:val="00EB5E87"/>
    <w:rsid w:val="00EB649D"/>
    <w:rsid w:val="00EB6C6B"/>
    <w:rsid w:val="00EB6E0D"/>
    <w:rsid w:val="00EB72A7"/>
    <w:rsid w:val="00EB7363"/>
    <w:rsid w:val="00EB7714"/>
    <w:rsid w:val="00EB77C1"/>
    <w:rsid w:val="00EB7A49"/>
    <w:rsid w:val="00EB7B5B"/>
    <w:rsid w:val="00EB7C4B"/>
    <w:rsid w:val="00EC0BAD"/>
    <w:rsid w:val="00EC0CAA"/>
    <w:rsid w:val="00EC1320"/>
    <w:rsid w:val="00EC1406"/>
    <w:rsid w:val="00EC1435"/>
    <w:rsid w:val="00EC225B"/>
    <w:rsid w:val="00EC2677"/>
    <w:rsid w:val="00EC2745"/>
    <w:rsid w:val="00EC2876"/>
    <w:rsid w:val="00EC2DAB"/>
    <w:rsid w:val="00EC3254"/>
    <w:rsid w:val="00EC364B"/>
    <w:rsid w:val="00EC36F2"/>
    <w:rsid w:val="00EC3810"/>
    <w:rsid w:val="00EC40B3"/>
    <w:rsid w:val="00EC476F"/>
    <w:rsid w:val="00EC47AD"/>
    <w:rsid w:val="00EC486B"/>
    <w:rsid w:val="00EC48D7"/>
    <w:rsid w:val="00EC4B7C"/>
    <w:rsid w:val="00EC4BB6"/>
    <w:rsid w:val="00EC4C26"/>
    <w:rsid w:val="00EC4F33"/>
    <w:rsid w:val="00EC5634"/>
    <w:rsid w:val="00EC68DA"/>
    <w:rsid w:val="00EC68E3"/>
    <w:rsid w:val="00EC7129"/>
    <w:rsid w:val="00EC7147"/>
    <w:rsid w:val="00EC7298"/>
    <w:rsid w:val="00EC72F8"/>
    <w:rsid w:val="00EC76CF"/>
    <w:rsid w:val="00EC7D2B"/>
    <w:rsid w:val="00EC7F5B"/>
    <w:rsid w:val="00ED0270"/>
    <w:rsid w:val="00ED0721"/>
    <w:rsid w:val="00ED07A3"/>
    <w:rsid w:val="00ED0E28"/>
    <w:rsid w:val="00ED11C5"/>
    <w:rsid w:val="00ED1924"/>
    <w:rsid w:val="00ED1DA1"/>
    <w:rsid w:val="00ED1DED"/>
    <w:rsid w:val="00ED1E35"/>
    <w:rsid w:val="00ED1EEE"/>
    <w:rsid w:val="00ED2B82"/>
    <w:rsid w:val="00ED2C8F"/>
    <w:rsid w:val="00ED2D4A"/>
    <w:rsid w:val="00ED2DB6"/>
    <w:rsid w:val="00ED304F"/>
    <w:rsid w:val="00ED403B"/>
    <w:rsid w:val="00ED47C8"/>
    <w:rsid w:val="00ED4B11"/>
    <w:rsid w:val="00ED4BF7"/>
    <w:rsid w:val="00ED4FB2"/>
    <w:rsid w:val="00ED507D"/>
    <w:rsid w:val="00ED57BC"/>
    <w:rsid w:val="00ED57FC"/>
    <w:rsid w:val="00ED6F17"/>
    <w:rsid w:val="00ED6F62"/>
    <w:rsid w:val="00ED76F1"/>
    <w:rsid w:val="00ED7871"/>
    <w:rsid w:val="00ED7BC1"/>
    <w:rsid w:val="00EE04E5"/>
    <w:rsid w:val="00EE09CC"/>
    <w:rsid w:val="00EE0E8D"/>
    <w:rsid w:val="00EE138C"/>
    <w:rsid w:val="00EE148A"/>
    <w:rsid w:val="00EE1575"/>
    <w:rsid w:val="00EE1C1C"/>
    <w:rsid w:val="00EE1C6D"/>
    <w:rsid w:val="00EE2406"/>
    <w:rsid w:val="00EE2431"/>
    <w:rsid w:val="00EE24DB"/>
    <w:rsid w:val="00EE24FB"/>
    <w:rsid w:val="00EE2727"/>
    <w:rsid w:val="00EE285D"/>
    <w:rsid w:val="00EE2B22"/>
    <w:rsid w:val="00EE2D3F"/>
    <w:rsid w:val="00EE2FC2"/>
    <w:rsid w:val="00EE3187"/>
    <w:rsid w:val="00EE3270"/>
    <w:rsid w:val="00EE3367"/>
    <w:rsid w:val="00EE367B"/>
    <w:rsid w:val="00EE3730"/>
    <w:rsid w:val="00EE3DA2"/>
    <w:rsid w:val="00EE43C0"/>
    <w:rsid w:val="00EE4452"/>
    <w:rsid w:val="00EE4C7E"/>
    <w:rsid w:val="00EE4CF9"/>
    <w:rsid w:val="00EE4FEB"/>
    <w:rsid w:val="00EE51DB"/>
    <w:rsid w:val="00EE556D"/>
    <w:rsid w:val="00EE5713"/>
    <w:rsid w:val="00EE58DC"/>
    <w:rsid w:val="00EE592A"/>
    <w:rsid w:val="00EE5DBE"/>
    <w:rsid w:val="00EE6128"/>
    <w:rsid w:val="00EE6184"/>
    <w:rsid w:val="00EE7503"/>
    <w:rsid w:val="00EE7607"/>
    <w:rsid w:val="00EE7A2C"/>
    <w:rsid w:val="00EE7BEB"/>
    <w:rsid w:val="00EF0209"/>
    <w:rsid w:val="00EF0D8A"/>
    <w:rsid w:val="00EF0E5D"/>
    <w:rsid w:val="00EF0F3B"/>
    <w:rsid w:val="00EF1263"/>
    <w:rsid w:val="00EF20F2"/>
    <w:rsid w:val="00EF2141"/>
    <w:rsid w:val="00EF2240"/>
    <w:rsid w:val="00EF2F99"/>
    <w:rsid w:val="00EF3069"/>
    <w:rsid w:val="00EF3347"/>
    <w:rsid w:val="00EF3482"/>
    <w:rsid w:val="00EF352E"/>
    <w:rsid w:val="00EF3A6B"/>
    <w:rsid w:val="00EF3DE5"/>
    <w:rsid w:val="00EF3E81"/>
    <w:rsid w:val="00EF48BE"/>
    <w:rsid w:val="00EF4C4E"/>
    <w:rsid w:val="00EF4EE5"/>
    <w:rsid w:val="00EF51B0"/>
    <w:rsid w:val="00EF57A5"/>
    <w:rsid w:val="00EF5811"/>
    <w:rsid w:val="00EF5987"/>
    <w:rsid w:val="00EF5D1A"/>
    <w:rsid w:val="00EF5E7E"/>
    <w:rsid w:val="00EF6404"/>
    <w:rsid w:val="00EF6556"/>
    <w:rsid w:val="00EF6AFA"/>
    <w:rsid w:val="00EF6F14"/>
    <w:rsid w:val="00EF7C70"/>
    <w:rsid w:val="00F002EF"/>
    <w:rsid w:val="00F00F2B"/>
    <w:rsid w:val="00F01114"/>
    <w:rsid w:val="00F011DA"/>
    <w:rsid w:val="00F012A8"/>
    <w:rsid w:val="00F01565"/>
    <w:rsid w:val="00F01733"/>
    <w:rsid w:val="00F01AA8"/>
    <w:rsid w:val="00F01AC5"/>
    <w:rsid w:val="00F01BE3"/>
    <w:rsid w:val="00F01F5F"/>
    <w:rsid w:val="00F020BB"/>
    <w:rsid w:val="00F0319D"/>
    <w:rsid w:val="00F03273"/>
    <w:rsid w:val="00F03323"/>
    <w:rsid w:val="00F0385E"/>
    <w:rsid w:val="00F040AC"/>
    <w:rsid w:val="00F04B56"/>
    <w:rsid w:val="00F04D91"/>
    <w:rsid w:val="00F04E2E"/>
    <w:rsid w:val="00F053BA"/>
    <w:rsid w:val="00F0583F"/>
    <w:rsid w:val="00F05C43"/>
    <w:rsid w:val="00F05D67"/>
    <w:rsid w:val="00F0638D"/>
    <w:rsid w:val="00F066C8"/>
    <w:rsid w:val="00F06C0B"/>
    <w:rsid w:val="00F07089"/>
    <w:rsid w:val="00F07A0C"/>
    <w:rsid w:val="00F07BE2"/>
    <w:rsid w:val="00F07E6E"/>
    <w:rsid w:val="00F07F28"/>
    <w:rsid w:val="00F10016"/>
    <w:rsid w:val="00F102EC"/>
    <w:rsid w:val="00F10548"/>
    <w:rsid w:val="00F105A7"/>
    <w:rsid w:val="00F106F3"/>
    <w:rsid w:val="00F10781"/>
    <w:rsid w:val="00F108D6"/>
    <w:rsid w:val="00F10A5D"/>
    <w:rsid w:val="00F10B73"/>
    <w:rsid w:val="00F10DE0"/>
    <w:rsid w:val="00F11001"/>
    <w:rsid w:val="00F117A0"/>
    <w:rsid w:val="00F1232F"/>
    <w:rsid w:val="00F12994"/>
    <w:rsid w:val="00F12D86"/>
    <w:rsid w:val="00F12DF2"/>
    <w:rsid w:val="00F13058"/>
    <w:rsid w:val="00F13162"/>
    <w:rsid w:val="00F134F7"/>
    <w:rsid w:val="00F13B05"/>
    <w:rsid w:val="00F13E49"/>
    <w:rsid w:val="00F13F47"/>
    <w:rsid w:val="00F142D6"/>
    <w:rsid w:val="00F146D7"/>
    <w:rsid w:val="00F147B0"/>
    <w:rsid w:val="00F14A46"/>
    <w:rsid w:val="00F14BCA"/>
    <w:rsid w:val="00F14F9D"/>
    <w:rsid w:val="00F154D4"/>
    <w:rsid w:val="00F1569C"/>
    <w:rsid w:val="00F15AF2"/>
    <w:rsid w:val="00F15CC0"/>
    <w:rsid w:val="00F15CC7"/>
    <w:rsid w:val="00F15F1E"/>
    <w:rsid w:val="00F1643F"/>
    <w:rsid w:val="00F16622"/>
    <w:rsid w:val="00F16B06"/>
    <w:rsid w:val="00F16E49"/>
    <w:rsid w:val="00F173E6"/>
    <w:rsid w:val="00F177C6"/>
    <w:rsid w:val="00F178AB"/>
    <w:rsid w:val="00F17A64"/>
    <w:rsid w:val="00F17B16"/>
    <w:rsid w:val="00F17F5B"/>
    <w:rsid w:val="00F20020"/>
    <w:rsid w:val="00F2034E"/>
    <w:rsid w:val="00F20DB2"/>
    <w:rsid w:val="00F20EA1"/>
    <w:rsid w:val="00F20F16"/>
    <w:rsid w:val="00F21290"/>
    <w:rsid w:val="00F219DB"/>
    <w:rsid w:val="00F21B53"/>
    <w:rsid w:val="00F2214E"/>
    <w:rsid w:val="00F228C1"/>
    <w:rsid w:val="00F231A1"/>
    <w:rsid w:val="00F23230"/>
    <w:rsid w:val="00F235C1"/>
    <w:rsid w:val="00F239CF"/>
    <w:rsid w:val="00F23DBA"/>
    <w:rsid w:val="00F23E5B"/>
    <w:rsid w:val="00F23F33"/>
    <w:rsid w:val="00F23FCA"/>
    <w:rsid w:val="00F24370"/>
    <w:rsid w:val="00F24A7D"/>
    <w:rsid w:val="00F25334"/>
    <w:rsid w:val="00F25416"/>
    <w:rsid w:val="00F25448"/>
    <w:rsid w:val="00F25EC4"/>
    <w:rsid w:val="00F2606A"/>
    <w:rsid w:val="00F26092"/>
    <w:rsid w:val="00F261DE"/>
    <w:rsid w:val="00F26538"/>
    <w:rsid w:val="00F2666C"/>
    <w:rsid w:val="00F26808"/>
    <w:rsid w:val="00F268A4"/>
    <w:rsid w:val="00F26E70"/>
    <w:rsid w:val="00F26EE2"/>
    <w:rsid w:val="00F270D4"/>
    <w:rsid w:val="00F274FC"/>
    <w:rsid w:val="00F27C4F"/>
    <w:rsid w:val="00F303AB"/>
    <w:rsid w:val="00F307CC"/>
    <w:rsid w:val="00F3093F"/>
    <w:rsid w:val="00F3099A"/>
    <w:rsid w:val="00F30BBA"/>
    <w:rsid w:val="00F30F78"/>
    <w:rsid w:val="00F31259"/>
    <w:rsid w:val="00F31584"/>
    <w:rsid w:val="00F31630"/>
    <w:rsid w:val="00F318FB"/>
    <w:rsid w:val="00F31B06"/>
    <w:rsid w:val="00F32212"/>
    <w:rsid w:val="00F329D1"/>
    <w:rsid w:val="00F32CDE"/>
    <w:rsid w:val="00F32D65"/>
    <w:rsid w:val="00F3322B"/>
    <w:rsid w:val="00F33B67"/>
    <w:rsid w:val="00F34A95"/>
    <w:rsid w:val="00F34C99"/>
    <w:rsid w:val="00F34F03"/>
    <w:rsid w:val="00F352F9"/>
    <w:rsid w:val="00F353F7"/>
    <w:rsid w:val="00F356B2"/>
    <w:rsid w:val="00F35C31"/>
    <w:rsid w:val="00F35CF9"/>
    <w:rsid w:val="00F36007"/>
    <w:rsid w:val="00F3623B"/>
    <w:rsid w:val="00F367AD"/>
    <w:rsid w:val="00F36816"/>
    <w:rsid w:val="00F36A3C"/>
    <w:rsid w:val="00F36FED"/>
    <w:rsid w:val="00F37072"/>
    <w:rsid w:val="00F37325"/>
    <w:rsid w:val="00F40794"/>
    <w:rsid w:val="00F40AFB"/>
    <w:rsid w:val="00F40C2F"/>
    <w:rsid w:val="00F40CF9"/>
    <w:rsid w:val="00F40F5F"/>
    <w:rsid w:val="00F41745"/>
    <w:rsid w:val="00F419AA"/>
    <w:rsid w:val="00F4221B"/>
    <w:rsid w:val="00F4233C"/>
    <w:rsid w:val="00F424A9"/>
    <w:rsid w:val="00F427D5"/>
    <w:rsid w:val="00F439BB"/>
    <w:rsid w:val="00F43FCA"/>
    <w:rsid w:val="00F44640"/>
    <w:rsid w:val="00F449D7"/>
    <w:rsid w:val="00F44B8B"/>
    <w:rsid w:val="00F44DB0"/>
    <w:rsid w:val="00F455B8"/>
    <w:rsid w:val="00F4573E"/>
    <w:rsid w:val="00F45F5E"/>
    <w:rsid w:val="00F461AE"/>
    <w:rsid w:val="00F46B1C"/>
    <w:rsid w:val="00F46CA0"/>
    <w:rsid w:val="00F46D8C"/>
    <w:rsid w:val="00F46EF8"/>
    <w:rsid w:val="00F4720F"/>
    <w:rsid w:val="00F474C0"/>
    <w:rsid w:val="00F47D6C"/>
    <w:rsid w:val="00F507F1"/>
    <w:rsid w:val="00F51106"/>
    <w:rsid w:val="00F51524"/>
    <w:rsid w:val="00F51A00"/>
    <w:rsid w:val="00F51B88"/>
    <w:rsid w:val="00F52A4C"/>
    <w:rsid w:val="00F534D3"/>
    <w:rsid w:val="00F534ED"/>
    <w:rsid w:val="00F5393F"/>
    <w:rsid w:val="00F53968"/>
    <w:rsid w:val="00F53BAF"/>
    <w:rsid w:val="00F53E2A"/>
    <w:rsid w:val="00F541AC"/>
    <w:rsid w:val="00F5421D"/>
    <w:rsid w:val="00F545B8"/>
    <w:rsid w:val="00F54637"/>
    <w:rsid w:val="00F5470A"/>
    <w:rsid w:val="00F54914"/>
    <w:rsid w:val="00F55395"/>
    <w:rsid w:val="00F55A8B"/>
    <w:rsid w:val="00F562BE"/>
    <w:rsid w:val="00F567A9"/>
    <w:rsid w:val="00F56A51"/>
    <w:rsid w:val="00F56D0D"/>
    <w:rsid w:val="00F56F2E"/>
    <w:rsid w:val="00F570FA"/>
    <w:rsid w:val="00F572AB"/>
    <w:rsid w:val="00F6010C"/>
    <w:rsid w:val="00F60458"/>
    <w:rsid w:val="00F6080E"/>
    <w:rsid w:val="00F60DF3"/>
    <w:rsid w:val="00F61026"/>
    <w:rsid w:val="00F61236"/>
    <w:rsid w:val="00F613D5"/>
    <w:rsid w:val="00F61567"/>
    <w:rsid w:val="00F61AC8"/>
    <w:rsid w:val="00F61C20"/>
    <w:rsid w:val="00F62057"/>
    <w:rsid w:val="00F62582"/>
    <w:rsid w:val="00F63408"/>
    <w:rsid w:val="00F634A4"/>
    <w:rsid w:val="00F63EB4"/>
    <w:rsid w:val="00F64DC6"/>
    <w:rsid w:val="00F64F14"/>
    <w:rsid w:val="00F65729"/>
    <w:rsid w:val="00F658CB"/>
    <w:rsid w:val="00F65958"/>
    <w:rsid w:val="00F65B59"/>
    <w:rsid w:val="00F65BCB"/>
    <w:rsid w:val="00F66D31"/>
    <w:rsid w:val="00F67567"/>
    <w:rsid w:val="00F67A0C"/>
    <w:rsid w:val="00F67C01"/>
    <w:rsid w:val="00F67C2B"/>
    <w:rsid w:val="00F67EBE"/>
    <w:rsid w:val="00F707DF"/>
    <w:rsid w:val="00F709F5"/>
    <w:rsid w:val="00F7114B"/>
    <w:rsid w:val="00F71E7A"/>
    <w:rsid w:val="00F721EF"/>
    <w:rsid w:val="00F72203"/>
    <w:rsid w:val="00F72301"/>
    <w:rsid w:val="00F724BD"/>
    <w:rsid w:val="00F72599"/>
    <w:rsid w:val="00F72731"/>
    <w:rsid w:val="00F7274A"/>
    <w:rsid w:val="00F7275E"/>
    <w:rsid w:val="00F72AC2"/>
    <w:rsid w:val="00F72BF8"/>
    <w:rsid w:val="00F7344C"/>
    <w:rsid w:val="00F74168"/>
    <w:rsid w:val="00F742F1"/>
    <w:rsid w:val="00F74339"/>
    <w:rsid w:val="00F747FA"/>
    <w:rsid w:val="00F74871"/>
    <w:rsid w:val="00F74CB7"/>
    <w:rsid w:val="00F74D87"/>
    <w:rsid w:val="00F7566E"/>
    <w:rsid w:val="00F76037"/>
    <w:rsid w:val="00F76408"/>
    <w:rsid w:val="00F76442"/>
    <w:rsid w:val="00F773B7"/>
    <w:rsid w:val="00F77724"/>
    <w:rsid w:val="00F7772A"/>
    <w:rsid w:val="00F777F7"/>
    <w:rsid w:val="00F77839"/>
    <w:rsid w:val="00F77995"/>
    <w:rsid w:val="00F77AB9"/>
    <w:rsid w:val="00F77FD4"/>
    <w:rsid w:val="00F8000F"/>
    <w:rsid w:val="00F805A3"/>
    <w:rsid w:val="00F8097D"/>
    <w:rsid w:val="00F811B9"/>
    <w:rsid w:val="00F814F1"/>
    <w:rsid w:val="00F81553"/>
    <w:rsid w:val="00F815CC"/>
    <w:rsid w:val="00F817E9"/>
    <w:rsid w:val="00F818AC"/>
    <w:rsid w:val="00F819FB"/>
    <w:rsid w:val="00F81A57"/>
    <w:rsid w:val="00F81F9F"/>
    <w:rsid w:val="00F8246A"/>
    <w:rsid w:val="00F8285E"/>
    <w:rsid w:val="00F82F00"/>
    <w:rsid w:val="00F82FA7"/>
    <w:rsid w:val="00F8336F"/>
    <w:rsid w:val="00F83B64"/>
    <w:rsid w:val="00F83ED9"/>
    <w:rsid w:val="00F84796"/>
    <w:rsid w:val="00F84CF9"/>
    <w:rsid w:val="00F84D9E"/>
    <w:rsid w:val="00F85096"/>
    <w:rsid w:val="00F856ED"/>
    <w:rsid w:val="00F8574D"/>
    <w:rsid w:val="00F85A58"/>
    <w:rsid w:val="00F85B2B"/>
    <w:rsid w:val="00F85B6D"/>
    <w:rsid w:val="00F85DEC"/>
    <w:rsid w:val="00F8615F"/>
    <w:rsid w:val="00F862C6"/>
    <w:rsid w:val="00F86637"/>
    <w:rsid w:val="00F869B3"/>
    <w:rsid w:val="00F86D4E"/>
    <w:rsid w:val="00F86E6F"/>
    <w:rsid w:val="00F87104"/>
    <w:rsid w:val="00F87A6B"/>
    <w:rsid w:val="00F87BEF"/>
    <w:rsid w:val="00F902F3"/>
    <w:rsid w:val="00F90C13"/>
    <w:rsid w:val="00F90DD7"/>
    <w:rsid w:val="00F91164"/>
    <w:rsid w:val="00F91524"/>
    <w:rsid w:val="00F91977"/>
    <w:rsid w:val="00F919B4"/>
    <w:rsid w:val="00F91F8B"/>
    <w:rsid w:val="00F920B2"/>
    <w:rsid w:val="00F92138"/>
    <w:rsid w:val="00F9270B"/>
    <w:rsid w:val="00F9275A"/>
    <w:rsid w:val="00F92AA4"/>
    <w:rsid w:val="00F92AB1"/>
    <w:rsid w:val="00F92B0F"/>
    <w:rsid w:val="00F92B13"/>
    <w:rsid w:val="00F92C57"/>
    <w:rsid w:val="00F92D2C"/>
    <w:rsid w:val="00F92F53"/>
    <w:rsid w:val="00F93043"/>
    <w:rsid w:val="00F9310D"/>
    <w:rsid w:val="00F93D6C"/>
    <w:rsid w:val="00F93FCF"/>
    <w:rsid w:val="00F94068"/>
    <w:rsid w:val="00F9489A"/>
    <w:rsid w:val="00F952A9"/>
    <w:rsid w:val="00F9536B"/>
    <w:rsid w:val="00F95878"/>
    <w:rsid w:val="00F95964"/>
    <w:rsid w:val="00F95E59"/>
    <w:rsid w:val="00F963DB"/>
    <w:rsid w:val="00F96439"/>
    <w:rsid w:val="00F96A71"/>
    <w:rsid w:val="00F96ACA"/>
    <w:rsid w:val="00F96D24"/>
    <w:rsid w:val="00F96D4C"/>
    <w:rsid w:val="00F97491"/>
    <w:rsid w:val="00F97BFD"/>
    <w:rsid w:val="00F97E96"/>
    <w:rsid w:val="00FA02C5"/>
    <w:rsid w:val="00FA03A4"/>
    <w:rsid w:val="00FA0CC4"/>
    <w:rsid w:val="00FA1AEC"/>
    <w:rsid w:val="00FA26E3"/>
    <w:rsid w:val="00FA26ED"/>
    <w:rsid w:val="00FA289E"/>
    <w:rsid w:val="00FA2CB5"/>
    <w:rsid w:val="00FA3549"/>
    <w:rsid w:val="00FA44FB"/>
    <w:rsid w:val="00FA5580"/>
    <w:rsid w:val="00FA5A8F"/>
    <w:rsid w:val="00FA5BFC"/>
    <w:rsid w:val="00FA5D9F"/>
    <w:rsid w:val="00FA5F42"/>
    <w:rsid w:val="00FA620B"/>
    <w:rsid w:val="00FA6361"/>
    <w:rsid w:val="00FA69C3"/>
    <w:rsid w:val="00FA69E4"/>
    <w:rsid w:val="00FA6AAC"/>
    <w:rsid w:val="00FA6CBC"/>
    <w:rsid w:val="00FA6D48"/>
    <w:rsid w:val="00FA7398"/>
    <w:rsid w:val="00FA76CB"/>
    <w:rsid w:val="00FA76DD"/>
    <w:rsid w:val="00FA76FC"/>
    <w:rsid w:val="00FA7A11"/>
    <w:rsid w:val="00FA7EC0"/>
    <w:rsid w:val="00FB00AC"/>
    <w:rsid w:val="00FB0B18"/>
    <w:rsid w:val="00FB0BB2"/>
    <w:rsid w:val="00FB0CE0"/>
    <w:rsid w:val="00FB119C"/>
    <w:rsid w:val="00FB1582"/>
    <w:rsid w:val="00FB1938"/>
    <w:rsid w:val="00FB1AD3"/>
    <w:rsid w:val="00FB1C3A"/>
    <w:rsid w:val="00FB22AE"/>
    <w:rsid w:val="00FB23DA"/>
    <w:rsid w:val="00FB349A"/>
    <w:rsid w:val="00FB37C2"/>
    <w:rsid w:val="00FB38BE"/>
    <w:rsid w:val="00FB3E1A"/>
    <w:rsid w:val="00FB448D"/>
    <w:rsid w:val="00FB4E5B"/>
    <w:rsid w:val="00FB5808"/>
    <w:rsid w:val="00FB5A0C"/>
    <w:rsid w:val="00FB623A"/>
    <w:rsid w:val="00FB6C88"/>
    <w:rsid w:val="00FB6DFE"/>
    <w:rsid w:val="00FB6EEB"/>
    <w:rsid w:val="00FB7468"/>
    <w:rsid w:val="00FB7CC7"/>
    <w:rsid w:val="00FC072E"/>
    <w:rsid w:val="00FC0801"/>
    <w:rsid w:val="00FC0921"/>
    <w:rsid w:val="00FC0970"/>
    <w:rsid w:val="00FC11A9"/>
    <w:rsid w:val="00FC1BDA"/>
    <w:rsid w:val="00FC1C6F"/>
    <w:rsid w:val="00FC25F7"/>
    <w:rsid w:val="00FC266E"/>
    <w:rsid w:val="00FC2921"/>
    <w:rsid w:val="00FC2A88"/>
    <w:rsid w:val="00FC2E53"/>
    <w:rsid w:val="00FC30E2"/>
    <w:rsid w:val="00FC332D"/>
    <w:rsid w:val="00FC3A30"/>
    <w:rsid w:val="00FC3B04"/>
    <w:rsid w:val="00FC3B2B"/>
    <w:rsid w:val="00FC3CC4"/>
    <w:rsid w:val="00FC3E24"/>
    <w:rsid w:val="00FC4693"/>
    <w:rsid w:val="00FC4ECF"/>
    <w:rsid w:val="00FC5249"/>
    <w:rsid w:val="00FC551E"/>
    <w:rsid w:val="00FC5613"/>
    <w:rsid w:val="00FC5790"/>
    <w:rsid w:val="00FC5A9A"/>
    <w:rsid w:val="00FC5D6A"/>
    <w:rsid w:val="00FC62DB"/>
    <w:rsid w:val="00FC6969"/>
    <w:rsid w:val="00FC6A12"/>
    <w:rsid w:val="00FC6A31"/>
    <w:rsid w:val="00FC6B85"/>
    <w:rsid w:val="00FC6D98"/>
    <w:rsid w:val="00FC6DD4"/>
    <w:rsid w:val="00FC6DD7"/>
    <w:rsid w:val="00FC703A"/>
    <w:rsid w:val="00FC759D"/>
    <w:rsid w:val="00FD039F"/>
    <w:rsid w:val="00FD0721"/>
    <w:rsid w:val="00FD0D14"/>
    <w:rsid w:val="00FD1153"/>
    <w:rsid w:val="00FD120B"/>
    <w:rsid w:val="00FD13D5"/>
    <w:rsid w:val="00FD1995"/>
    <w:rsid w:val="00FD1D02"/>
    <w:rsid w:val="00FD1FF6"/>
    <w:rsid w:val="00FD25E1"/>
    <w:rsid w:val="00FD2B06"/>
    <w:rsid w:val="00FD2D75"/>
    <w:rsid w:val="00FD2FE3"/>
    <w:rsid w:val="00FD32CB"/>
    <w:rsid w:val="00FD3363"/>
    <w:rsid w:val="00FD37BD"/>
    <w:rsid w:val="00FD3B18"/>
    <w:rsid w:val="00FD3C86"/>
    <w:rsid w:val="00FD3CAB"/>
    <w:rsid w:val="00FD3EEF"/>
    <w:rsid w:val="00FD40FF"/>
    <w:rsid w:val="00FD52BE"/>
    <w:rsid w:val="00FD538C"/>
    <w:rsid w:val="00FD56F2"/>
    <w:rsid w:val="00FD5E1C"/>
    <w:rsid w:val="00FD62EB"/>
    <w:rsid w:val="00FD6327"/>
    <w:rsid w:val="00FD63DF"/>
    <w:rsid w:val="00FD6811"/>
    <w:rsid w:val="00FD6AB4"/>
    <w:rsid w:val="00FD6B20"/>
    <w:rsid w:val="00FD7339"/>
    <w:rsid w:val="00FD7945"/>
    <w:rsid w:val="00FE02C1"/>
    <w:rsid w:val="00FE06E5"/>
    <w:rsid w:val="00FE0B54"/>
    <w:rsid w:val="00FE0B5C"/>
    <w:rsid w:val="00FE0F34"/>
    <w:rsid w:val="00FE1729"/>
    <w:rsid w:val="00FE1880"/>
    <w:rsid w:val="00FE1EB0"/>
    <w:rsid w:val="00FE2075"/>
    <w:rsid w:val="00FE23B0"/>
    <w:rsid w:val="00FE28D7"/>
    <w:rsid w:val="00FE2C67"/>
    <w:rsid w:val="00FE2D2D"/>
    <w:rsid w:val="00FE326E"/>
    <w:rsid w:val="00FE35A0"/>
    <w:rsid w:val="00FE3F8E"/>
    <w:rsid w:val="00FE4711"/>
    <w:rsid w:val="00FE47ED"/>
    <w:rsid w:val="00FE4AAD"/>
    <w:rsid w:val="00FE4F2F"/>
    <w:rsid w:val="00FE5206"/>
    <w:rsid w:val="00FE5330"/>
    <w:rsid w:val="00FE567A"/>
    <w:rsid w:val="00FE61DC"/>
    <w:rsid w:val="00FE6383"/>
    <w:rsid w:val="00FE67D0"/>
    <w:rsid w:val="00FE6D54"/>
    <w:rsid w:val="00FE781F"/>
    <w:rsid w:val="00FE7B01"/>
    <w:rsid w:val="00FF002B"/>
    <w:rsid w:val="00FF00BF"/>
    <w:rsid w:val="00FF04BD"/>
    <w:rsid w:val="00FF054B"/>
    <w:rsid w:val="00FF0767"/>
    <w:rsid w:val="00FF081E"/>
    <w:rsid w:val="00FF0D09"/>
    <w:rsid w:val="00FF1187"/>
    <w:rsid w:val="00FF145C"/>
    <w:rsid w:val="00FF155A"/>
    <w:rsid w:val="00FF1BBA"/>
    <w:rsid w:val="00FF1ED4"/>
    <w:rsid w:val="00FF2151"/>
    <w:rsid w:val="00FF2318"/>
    <w:rsid w:val="00FF26EE"/>
    <w:rsid w:val="00FF2EC1"/>
    <w:rsid w:val="00FF3102"/>
    <w:rsid w:val="00FF3329"/>
    <w:rsid w:val="00FF3B3A"/>
    <w:rsid w:val="00FF3C0B"/>
    <w:rsid w:val="00FF41D8"/>
    <w:rsid w:val="00FF44D0"/>
    <w:rsid w:val="00FF47A3"/>
    <w:rsid w:val="00FF48AD"/>
    <w:rsid w:val="00FF4D23"/>
    <w:rsid w:val="00FF4D5B"/>
    <w:rsid w:val="00FF4F72"/>
    <w:rsid w:val="00FF53E8"/>
    <w:rsid w:val="00FF602B"/>
    <w:rsid w:val="00FF6353"/>
    <w:rsid w:val="00FF661A"/>
    <w:rsid w:val="00FF6788"/>
    <w:rsid w:val="00FF6B39"/>
    <w:rsid w:val="00FF704A"/>
    <w:rsid w:val="00FF70BA"/>
    <w:rsid w:val="00FF7512"/>
    <w:rsid w:val="00FF7746"/>
    <w:rsid w:val="00FF7846"/>
    <w:rsid w:val="00FF7877"/>
    <w:rsid w:val="0A36068D"/>
    <w:rsid w:val="35C86732"/>
    <w:rsid w:val="366E260C"/>
    <w:rsid w:val="5DF5AF3C"/>
    <w:rsid w:val="5EF85FE5"/>
    <w:rsid w:val="5F76289C"/>
    <w:rsid w:val="60784FAD"/>
    <w:rsid w:val="680C01CD"/>
    <w:rsid w:val="6F6D984F"/>
    <w:rsid w:val="72C14D49"/>
    <w:rsid w:val="7573336B"/>
    <w:rsid w:val="7E7FA2C3"/>
    <w:rsid w:val="B7F98431"/>
    <w:rsid w:val="BBD72641"/>
    <w:rsid w:val="F75FF255"/>
    <w:rsid w:val="FF6E69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57"/>
    <w:qFormat/>
    <w:uiPriority w:val="0"/>
    <w:pPr>
      <w:keepNext w:val="0"/>
      <w:keepLines w:val="0"/>
      <w:tabs>
        <w:tab w:val="left" w:pos="426"/>
      </w:tabs>
      <w:spacing w:before="340" w:after="330" w:line="300" w:lineRule="auto"/>
      <w:jc w:val="center"/>
      <w:outlineLvl w:val="0"/>
    </w:pPr>
    <w:rPr>
      <w:rFonts w:eastAsia="黑体"/>
      <w:kern w:val="44"/>
      <w:sz w:val="32"/>
    </w:rPr>
  </w:style>
  <w:style w:type="paragraph" w:styleId="5">
    <w:name w:val="heading 2"/>
    <w:basedOn w:val="3"/>
    <w:next w:val="4"/>
    <w:link w:val="288"/>
    <w:qFormat/>
    <w:uiPriority w:val="0"/>
    <w:pPr>
      <w:tabs>
        <w:tab w:val="left" w:pos="426"/>
      </w:tabs>
      <w:textAlignment w:val="baseline"/>
      <w:outlineLvl w:val="1"/>
    </w:pPr>
    <w:rPr>
      <w:bCs w:val="0"/>
      <w:kern w:val="0"/>
      <w:szCs w:val="20"/>
    </w:rPr>
  </w:style>
  <w:style w:type="paragraph" w:styleId="3">
    <w:name w:val="heading 3"/>
    <w:basedOn w:val="4"/>
    <w:next w:val="1"/>
    <w:link w:val="56"/>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54"/>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18"/>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19"/>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20"/>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21"/>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22"/>
    <w:qFormat/>
    <w:uiPriority w:val="0"/>
    <w:pPr>
      <w:keepNext/>
      <w:keepLines/>
      <w:spacing w:before="240" w:after="64" w:line="320" w:lineRule="auto"/>
      <w:outlineLvl w:val="8"/>
    </w:pPr>
    <w:rPr>
      <w:rFonts w:ascii="Arial" w:hAnsi="Arial" w:eastAsia="黑体" w:cs="Times New Roman"/>
      <w:kern w:val="2"/>
      <w:szCs w:val="20"/>
    </w:rPr>
  </w:style>
  <w:style w:type="character" w:default="1" w:styleId="47">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rFonts w:ascii="Times New Roman" w:hAnsi="Times New Roman" w:cs="Times New Roman"/>
      <w:kern w:val="2"/>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numPr>
        <w:ilvl w:val="0"/>
        <w:numId w:val="1"/>
      </w:numPr>
      <w:tabs>
        <w:tab w:val="left" w:pos="820"/>
      </w:tabs>
      <w:spacing w:afterLines="50"/>
    </w:pPr>
    <w:rPr>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List Bullet"/>
    <w:basedOn w:val="1"/>
    <w:qFormat/>
    <w:uiPriority w:val="0"/>
    <w:pPr>
      <w:tabs>
        <w:tab w:val="left" w:pos="360"/>
      </w:tabs>
      <w:ind w:left="360" w:hanging="360" w:hangingChars="200"/>
    </w:pPr>
    <w:rPr>
      <w:szCs w:val="20"/>
    </w:rPr>
  </w:style>
  <w:style w:type="paragraph" w:styleId="16">
    <w:name w:val="Document Map"/>
    <w:basedOn w:val="1"/>
    <w:link w:val="111"/>
    <w:semiHidden/>
    <w:qFormat/>
    <w:uiPriority w:val="0"/>
    <w:pPr>
      <w:shd w:val="clear" w:color="auto" w:fill="000080"/>
    </w:pPr>
    <w:rPr>
      <w:rFonts w:ascii="Times New Roman" w:hAnsi="Times New Roman" w:cs="Times New Roman"/>
      <w:kern w:val="2"/>
    </w:rPr>
  </w:style>
  <w:style w:type="paragraph" w:styleId="17">
    <w:name w:val="toa heading"/>
    <w:basedOn w:val="1"/>
    <w:next w:val="1"/>
    <w:qFormat/>
    <w:uiPriority w:val="0"/>
    <w:pPr>
      <w:spacing w:before="120"/>
    </w:pPr>
    <w:rPr>
      <w:rFonts w:ascii="Arial" w:hAnsi="Arial"/>
      <w:sz w:val="24"/>
      <w:szCs w:val="20"/>
    </w:rPr>
  </w:style>
  <w:style w:type="paragraph" w:styleId="18">
    <w:name w:val="annotation text"/>
    <w:basedOn w:val="1"/>
    <w:link w:val="72"/>
    <w:qFormat/>
    <w:uiPriority w:val="0"/>
    <w:pPr>
      <w:autoSpaceDE w:val="0"/>
      <w:autoSpaceDN w:val="0"/>
      <w:jc w:val="left"/>
      <w:textAlignment w:val="baseline"/>
    </w:pPr>
    <w:rPr>
      <w:rFonts w:hAnsi="Times New Roman" w:cs="Times New Roman"/>
      <w:sz w:val="34"/>
      <w:szCs w:val="20"/>
    </w:rPr>
  </w:style>
  <w:style w:type="paragraph" w:styleId="19">
    <w:name w:val="Body Text 3"/>
    <w:basedOn w:val="1"/>
    <w:link w:val="274"/>
    <w:qFormat/>
    <w:uiPriority w:val="0"/>
    <w:pPr>
      <w:spacing w:after="120"/>
    </w:pPr>
    <w:rPr>
      <w:rFonts w:ascii="Times New Roman" w:hAnsi="Times New Roman" w:cs="Times New Roman"/>
      <w:kern w:val="2"/>
      <w:sz w:val="16"/>
      <w:szCs w:val="16"/>
    </w:rPr>
  </w:style>
  <w:style w:type="paragraph" w:styleId="20">
    <w:name w:val="Body Text"/>
    <w:basedOn w:val="1"/>
    <w:link w:val="289"/>
    <w:qFormat/>
    <w:uiPriority w:val="0"/>
    <w:rPr>
      <w:b/>
      <w:bCs/>
      <w:sz w:val="24"/>
    </w:rPr>
  </w:style>
  <w:style w:type="paragraph" w:styleId="21">
    <w:name w:val="Body Text Indent"/>
    <w:basedOn w:val="1"/>
    <w:link w:val="214"/>
    <w:qFormat/>
    <w:uiPriority w:val="0"/>
    <w:pPr>
      <w:ind w:firstLine="420" w:firstLineChars="200"/>
    </w:pPr>
    <w:rPr>
      <w:rFonts w:ascii="Times New Roman" w:hAnsi="Times New Roman" w:cs="Times New Roman"/>
      <w:kern w:val="2"/>
    </w:rPr>
  </w:style>
  <w:style w:type="paragraph" w:styleId="22">
    <w:name w:val="toc 5"/>
    <w:basedOn w:val="1"/>
    <w:next w:val="1"/>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3"/>
    <w:qFormat/>
    <w:uiPriority w:val="0"/>
    <w:rPr>
      <w:rFonts w:hAnsi="Courier New" w:cs="Times New Roman"/>
      <w:kern w:val="2"/>
      <w:szCs w:val="20"/>
    </w:rPr>
  </w:style>
  <w:style w:type="paragraph" w:styleId="25">
    <w:name w:val="toc 8"/>
    <w:basedOn w:val="1"/>
    <w:next w:val="1"/>
    <w:qFormat/>
    <w:uiPriority w:val="0"/>
    <w:pPr>
      <w:ind w:left="1470"/>
      <w:jc w:val="left"/>
    </w:pPr>
    <w:rPr>
      <w:szCs w:val="21"/>
    </w:rPr>
  </w:style>
  <w:style w:type="paragraph" w:styleId="26">
    <w:name w:val="Date"/>
    <w:basedOn w:val="1"/>
    <w:next w:val="1"/>
    <w:link w:val="84"/>
    <w:qFormat/>
    <w:uiPriority w:val="0"/>
    <w:rPr>
      <w:rFonts w:hAnsi="Courier New" w:cs="Times New Roman"/>
      <w:kern w:val="2"/>
      <w:sz w:val="32"/>
      <w:szCs w:val="20"/>
    </w:rPr>
  </w:style>
  <w:style w:type="paragraph" w:styleId="27">
    <w:name w:val="Body Text Indent 2"/>
    <w:basedOn w:val="1"/>
    <w:link w:val="213"/>
    <w:qFormat/>
    <w:uiPriority w:val="0"/>
    <w:pPr>
      <w:spacing w:beforeLines="50" w:afterLines="50" w:line="120" w:lineRule="auto"/>
      <w:ind w:firstLine="840" w:firstLineChars="400"/>
      <w:jc w:val="left"/>
    </w:pPr>
    <w:rPr>
      <w:rFonts w:cs="Times New Roman"/>
      <w:kern w:val="2"/>
    </w:rPr>
  </w:style>
  <w:style w:type="paragraph" w:styleId="28">
    <w:name w:val="Balloon Text"/>
    <w:basedOn w:val="1"/>
    <w:link w:val="110"/>
    <w:semiHidden/>
    <w:qFormat/>
    <w:uiPriority w:val="0"/>
    <w:rPr>
      <w:rFonts w:ascii="Times New Roman" w:hAnsi="Times New Roman" w:cs="Times New Roman"/>
      <w:kern w:val="2"/>
      <w:sz w:val="18"/>
      <w:szCs w:val="18"/>
    </w:rPr>
  </w:style>
  <w:style w:type="paragraph" w:styleId="29">
    <w:name w:val="footer"/>
    <w:basedOn w:val="1"/>
    <w:link w:val="109"/>
    <w:qFormat/>
    <w:uiPriority w:val="99"/>
    <w:pPr>
      <w:tabs>
        <w:tab w:val="center" w:pos="4153"/>
        <w:tab w:val="right" w:pos="8306"/>
      </w:tabs>
      <w:jc w:val="left"/>
    </w:pPr>
    <w:rPr>
      <w:rFonts w:ascii="Times New Roman" w:hAnsi="Times New Roman" w:cs="Times New Roman"/>
      <w:kern w:val="2"/>
      <w:sz w:val="18"/>
      <w:szCs w:val="18"/>
    </w:rPr>
  </w:style>
  <w:style w:type="paragraph" w:styleId="30">
    <w:name w:val="header"/>
    <w:basedOn w:val="1"/>
    <w:link w:val="79"/>
    <w:qFormat/>
    <w:uiPriority w:val="99"/>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31">
    <w:name w:val="toc 1"/>
    <w:basedOn w:val="1"/>
    <w:next w:val="1"/>
    <w:qFormat/>
    <w:uiPriority w:val="39"/>
    <w:pPr>
      <w:tabs>
        <w:tab w:val="right" w:leader="dot" w:pos="8789"/>
      </w:tabs>
      <w:adjustRightInd/>
      <w:snapToGrid/>
      <w:spacing w:before="120" w:after="120"/>
      <w:jc w:val="left"/>
    </w:pPr>
    <w:rPr>
      <w:b/>
      <w:bCs/>
      <w:caps/>
      <w:sz w:val="28"/>
    </w:rPr>
  </w:style>
  <w:style w:type="paragraph" w:styleId="32">
    <w:name w:val="toc 4"/>
    <w:basedOn w:val="1"/>
    <w:next w:val="1"/>
    <w:qFormat/>
    <w:uiPriority w:val="0"/>
    <w:pPr>
      <w:ind w:left="630"/>
      <w:jc w:val="left"/>
    </w:pPr>
    <w:rPr>
      <w:szCs w:val="21"/>
    </w:rPr>
  </w:style>
  <w:style w:type="paragraph" w:styleId="33">
    <w:name w:val="Subtitle"/>
    <w:basedOn w:val="1"/>
    <w:next w:val="1"/>
    <w:link w:val="76"/>
    <w:qFormat/>
    <w:uiPriority w:val="0"/>
    <w:pPr>
      <w:spacing w:before="240" w:after="60" w:line="312" w:lineRule="auto"/>
      <w:jc w:val="center"/>
      <w:outlineLvl w:val="1"/>
    </w:pPr>
    <w:rPr>
      <w:rFonts w:ascii="Cambria" w:hAnsi="Cambria" w:cs="Times New Roman"/>
      <w:b/>
      <w:bCs/>
      <w:kern w:val="28"/>
      <w:sz w:val="28"/>
      <w:szCs w:val="32"/>
    </w:rPr>
  </w:style>
  <w:style w:type="paragraph" w:styleId="34">
    <w:name w:val="toc 6"/>
    <w:basedOn w:val="1"/>
    <w:next w:val="1"/>
    <w:qFormat/>
    <w:uiPriority w:val="0"/>
    <w:pPr>
      <w:ind w:left="1050"/>
      <w:jc w:val="left"/>
    </w:pPr>
    <w:rPr>
      <w:szCs w:val="21"/>
    </w:rPr>
  </w:style>
  <w:style w:type="paragraph" w:styleId="35">
    <w:name w:val="Body Text Indent 3"/>
    <w:basedOn w:val="1"/>
    <w:link w:val="269"/>
    <w:qFormat/>
    <w:uiPriority w:val="0"/>
    <w:pPr>
      <w:ind w:firstLine="482" w:firstLineChars="200"/>
    </w:pPr>
    <w:rPr>
      <w:rFonts w:hAnsi="Times New Roman" w:cs="Times New Roman"/>
      <w:b/>
      <w:bCs/>
      <w:kern w:val="2"/>
      <w:sz w:val="24"/>
    </w:rPr>
  </w:style>
  <w:style w:type="paragraph" w:styleId="36">
    <w:name w:val="toc 2"/>
    <w:basedOn w:val="1"/>
    <w:next w:val="1"/>
    <w:qFormat/>
    <w:uiPriority w:val="39"/>
    <w:pPr>
      <w:tabs>
        <w:tab w:val="right" w:leader="dot" w:pos="8789"/>
        <w:tab w:val="clear" w:pos="426"/>
      </w:tabs>
      <w:adjustRightInd/>
      <w:snapToGrid/>
      <w:ind w:left="105" w:leftChars="50"/>
    </w:pPr>
    <w:rPr>
      <w:smallCaps/>
      <w:sz w:val="28"/>
    </w:rPr>
  </w:style>
  <w:style w:type="paragraph" w:styleId="37">
    <w:name w:val="toc 9"/>
    <w:basedOn w:val="1"/>
    <w:next w:val="1"/>
    <w:qFormat/>
    <w:uiPriority w:val="0"/>
    <w:pPr>
      <w:ind w:left="1680"/>
      <w:jc w:val="left"/>
    </w:pPr>
    <w:rPr>
      <w:szCs w:val="21"/>
    </w:rPr>
  </w:style>
  <w:style w:type="paragraph" w:styleId="38">
    <w:name w:val="Body Text 2"/>
    <w:basedOn w:val="1"/>
    <w:link w:val="273"/>
    <w:qFormat/>
    <w:uiPriority w:val="0"/>
    <w:rPr>
      <w:rFonts w:ascii="Times New Roman" w:hAnsi="Times New Roman" w:cs="Times New Roman"/>
      <w:kern w:val="2"/>
      <w:sz w:val="24"/>
    </w:rPr>
  </w:style>
  <w:style w:type="paragraph" w:styleId="39">
    <w:name w:val="HTML Preformatted"/>
    <w:basedOn w:val="1"/>
    <w:link w:val="27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40">
    <w:name w:val="Normal (Web)"/>
    <w:basedOn w:val="1"/>
    <w:qFormat/>
    <w:uiPriority w:val="0"/>
    <w:rPr>
      <w:sz w:val="24"/>
    </w:rPr>
  </w:style>
  <w:style w:type="paragraph" w:styleId="41">
    <w:name w:val="index 1"/>
    <w:basedOn w:val="1"/>
    <w:next w:val="1"/>
    <w:qFormat/>
    <w:uiPriority w:val="99"/>
    <w:rPr>
      <w:b/>
      <w:color w:val="0000FF"/>
      <w:sz w:val="24"/>
    </w:rPr>
  </w:style>
  <w:style w:type="paragraph" w:styleId="42">
    <w:name w:val="Title"/>
    <w:basedOn w:val="1"/>
    <w:link w:val="136"/>
    <w:qFormat/>
    <w:uiPriority w:val="0"/>
    <w:pPr>
      <w:spacing w:before="240" w:after="60"/>
      <w:jc w:val="center"/>
      <w:outlineLvl w:val="0"/>
    </w:pPr>
    <w:rPr>
      <w:rFonts w:ascii="Arial" w:hAnsi="Arial" w:cs="Times New Roman"/>
      <w:b/>
      <w:bCs/>
      <w:kern w:val="2"/>
      <w:sz w:val="36"/>
      <w:szCs w:val="32"/>
    </w:rPr>
  </w:style>
  <w:style w:type="paragraph" w:styleId="43">
    <w:name w:val="annotation subject"/>
    <w:basedOn w:val="18"/>
    <w:next w:val="18"/>
    <w:link w:val="251"/>
    <w:qFormat/>
    <w:uiPriority w:val="0"/>
    <w:pPr>
      <w:autoSpaceDE/>
      <w:autoSpaceDN/>
      <w:adjustRightInd/>
      <w:textAlignment w:val="auto"/>
    </w:pPr>
    <w:rPr>
      <w:rFonts w:ascii="Times New Roman"/>
      <w:b/>
      <w:bCs/>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6">
    <w:name w:val="Table Theme"/>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unhideWhenUsed/>
    <w:qFormat/>
    <w:uiPriority w:val="0"/>
    <w:rPr>
      <w:sz w:val="21"/>
      <w:szCs w:val="21"/>
    </w:rPr>
  </w:style>
  <w:style w:type="character" w:customStyle="1" w:styleId="54">
    <w:name w:val="标题 4 Char"/>
    <w:link w:val="4"/>
    <w:qFormat/>
    <w:uiPriority w:val="0"/>
    <w:rPr>
      <w:rFonts w:ascii="Arial" w:hAnsi="Arial" w:eastAsia="黑体"/>
      <w:b/>
      <w:bCs/>
      <w:kern w:val="2"/>
      <w:sz w:val="28"/>
      <w:szCs w:val="28"/>
      <w:lang w:val="en-US" w:eastAsia="zh-CN" w:bidi="ar-SA"/>
    </w:rPr>
  </w:style>
  <w:style w:type="paragraph" w:customStyle="1" w:styleId="55">
    <w:name w:val="Char"/>
    <w:basedOn w:val="1"/>
    <w:qFormat/>
    <w:uiPriority w:val="0"/>
    <w:pPr>
      <w:spacing w:after="160" w:line="240" w:lineRule="exact"/>
      <w:jc w:val="left"/>
    </w:pPr>
    <w:rPr>
      <w:rFonts w:ascii="Verdana" w:hAnsi="Verdana" w:eastAsia="仿宋_GB2312"/>
      <w:sz w:val="24"/>
      <w:szCs w:val="20"/>
      <w:lang w:eastAsia="en-US"/>
    </w:rPr>
  </w:style>
  <w:style w:type="character" w:customStyle="1" w:styleId="56">
    <w:name w:val="标题 3 Char1"/>
    <w:link w:val="3"/>
    <w:qFormat/>
    <w:uiPriority w:val="0"/>
    <w:rPr>
      <w:rFonts w:ascii="宋体" w:hAnsi="宋体"/>
      <w:b/>
      <w:bCs/>
      <w:kern w:val="2"/>
      <w:sz w:val="24"/>
      <w:szCs w:val="32"/>
      <w:shd w:val="clear" w:color="auto" w:fill="FFFFFF"/>
    </w:rPr>
  </w:style>
  <w:style w:type="character" w:customStyle="1" w:styleId="57">
    <w:name w:val="标题 1 Char"/>
    <w:link w:val="2"/>
    <w:qFormat/>
    <w:uiPriority w:val="0"/>
    <w:rPr>
      <w:rFonts w:ascii="宋体" w:hAnsi="宋体" w:eastAsia="黑体"/>
      <w:b/>
      <w:bCs/>
      <w:kern w:val="44"/>
      <w:sz w:val="32"/>
      <w:szCs w:val="32"/>
      <w:shd w:val="clear" w:color="auto" w:fill="FFFFFF"/>
    </w:rPr>
  </w:style>
  <w:style w:type="character" w:customStyle="1" w:styleId="58">
    <w:name w:val="正文缩进 Char"/>
    <w:link w:val="7"/>
    <w:qFormat/>
    <w:uiPriority w:val="0"/>
    <w:rPr>
      <w:rFonts w:eastAsia="宋体"/>
      <w:kern w:val="2"/>
      <w:sz w:val="21"/>
      <w:lang w:val="en-US" w:eastAsia="zh-CN" w:bidi="ar-SA"/>
    </w:rPr>
  </w:style>
  <w:style w:type="character" w:customStyle="1" w:styleId="59">
    <w:name w:val="标题 3 Char"/>
    <w:qFormat/>
    <w:uiPriority w:val="0"/>
    <w:rPr>
      <w:rFonts w:ascii="黑体" w:eastAsia="黑体"/>
      <w:bCs/>
      <w:sz w:val="30"/>
    </w:rPr>
  </w:style>
  <w:style w:type="paragraph" w:customStyle="1" w:styleId="60">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61">
    <w:name w:val="图"/>
    <w:basedOn w:val="1"/>
    <w:qFormat/>
    <w:uiPriority w:val="0"/>
    <w:pPr>
      <w:keepNext/>
      <w:spacing w:before="60" w:after="60" w:line="300" w:lineRule="auto"/>
      <w:jc w:val="center"/>
    </w:pPr>
    <w:rPr>
      <w:spacing w:val="20"/>
      <w:sz w:val="24"/>
      <w:szCs w:val="20"/>
    </w:rPr>
  </w:style>
  <w:style w:type="paragraph" w:customStyle="1" w:styleId="62">
    <w:name w:val="文档正文"/>
    <w:basedOn w:val="1"/>
    <w:qFormat/>
    <w:uiPriority w:val="0"/>
    <w:pPr>
      <w:spacing w:line="480" w:lineRule="atLeast"/>
      <w:ind w:firstLine="567" w:firstLineChars="200"/>
      <w:textAlignment w:val="baseline"/>
    </w:pPr>
    <w:rPr>
      <w:rFonts w:ascii="长城仿宋"/>
      <w:szCs w:val="20"/>
    </w:rPr>
  </w:style>
  <w:style w:type="paragraph" w:customStyle="1" w:styleId="63">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64">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65">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7">
    <w:name w:val="自定义正文"/>
    <w:basedOn w:val="1"/>
    <w:qFormat/>
    <w:uiPriority w:val="0"/>
    <w:pPr>
      <w:spacing w:afterLines="50"/>
      <w:ind w:left="600" w:leftChars="600"/>
    </w:pPr>
  </w:style>
  <w:style w:type="paragraph" w:customStyle="1" w:styleId="68">
    <w:name w:val="Char Char Char Char Char"/>
    <w:basedOn w:val="1"/>
    <w:qFormat/>
    <w:uiPriority w:val="0"/>
    <w:rPr>
      <w:rFonts w:ascii="Tahoma" w:hAnsi="Tahoma"/>
      <w:sz w:val="24"/>
      <w:szCs w:val="20"/>
    </w:rPr>
  </w:style>
  <w:style w:type="paragraph" w:customStyle="1" w:styleId="69">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70">
    <w:name w:val="Char Char"/>
    <w:basedOn w:val="1"/>
    <w:qFormat/>
    <w:uiPriority w:val="0"/>
    <w:rPr>
      <w:rFonts w:ascii="Tahoma" w:hAnsi="Tahoma"/>
      <w:sz w:val="24"/>
      <w:szCs w:val="20"/>
    </w:rPr>
  </w:style>
  <w:style w:type="paragraph" w:customStyle="1" w:styleId="71">
    <w:name w:val="È±Ê¡ÎÄ±¾"/>
    <w:basedOn w:val="1"/>
    <w:qFormat/>
    <w:uiPriority w:val="0"/>
    <w:pPr>
      <w:overflowPunct w:val="0"/>
      <w:autoSpaceDE w:val="0"/>
      <w:autoSpaceDN w:val="0"/>
      <w:jc w:val="left"/>
      <w:textAlignment w:val="baseline"/>
    </w:pPr>
    <w:rPr>
      <w:sz w:val="24"/>
      <w:szCs w:val="20"/>
    </w:rPr>
  </w:style>
  <w:style w:type="character" w:customStyle="1" w:styleId="72">
    <w:name w:val="批注文字 Char"/>
    <w:link w:val="18"/>
    <w:qFormat/>
    <w:uiPriority w:val="0"/>
    <w:rPr>
      <w:rFonts w:ascii="宋体" w:eastAsia="宋体"/>
      <w:sz w:val="34"/>
      <w:lang w:val="en-US" w:eastAsia="zh-CN" w:bidi="ar-SA"/>
    </w:rPr>
  </w:style>
  <w:style w:type="character" w:customStyle="1" w:styleId="73">
    <w:name w:val="纯文本 Char"/>
    <w:link w:val="24"/>
    <w:qFormat/>
    <w:uiPriority w:val="0"/>
    <w:rPr>
      <w:rFonts w:ascii="宋体" w:hAnsi="Courier New"/>
      <w:kern w:val="2"/>
      <w:sz w:val="21"/>
    </w:rPr>
  </w:style>
  <w:style w:type="character" w:customStyle="1" w:styleId="74">
    <w:name w:val="apple-converted-space"/>
    <w:basedOn w:val="47"/>
    <w:qFormat/>
    <w:uiPriority w:val="0"/>
  </w:style>
  <w:style w:type="paragraph" w:customStyle="1" w:styleId="75">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character" w:customStyle="1" w:styleId="76">
    <w:name w:val="副标题 Char"/>
    <w:link w:val="33"/>
    <w:qFormat/>
    <w:uiPriority w:val="0"/>
    <w:rPr>
      <w:rFonts w:ascii="Cambria" w:hAnsi="Cambria" w:cs="Times New Roman"/>
      <w:b/>
      <w:bCs/>
      <w:kern w:val="28"/>
      <w:sz w:val="28"/>
      <w:szCs w:val="32"/>
    </w:rPr>
  </w:style>
  <w:style w:type="paragraph" w:customStyle="1" w:styleId="77">
    <w:name w:val="Char Char Char"/>
    <w:basedOn w:val="1"/>
    <w:qFormat/>
    <w:uiPriority w:val="0"/>
    <w:rPr>
      <w:rFonts w:ascii="Tahoma" w:hAnsi="Tahoma"/>
      <w:sz w:val="24"/>
      <w:szCs w:val="20"/>
    </w:rPr>
  </w:style>
  <w:style w:type="paragraph" w:customStyle="1" w:styleId="78">
    <w:name w:val="列出段落1"/>
    <w:basedOn w:val="1"/>
    <w:link w:val="89"/>
    <w:qFormat/>
    <w:uiPriority w:val="0"/>
    <w:pPr>
      <w:ind w:firstLine="420" w:firstLineChars="200"/>
    </w:pPr>
    <w:rPr>
      <w:rFonts w:ascii="Times New Roman" w:hAnsi="Times New Roman" w:cs="Times New Roman"/>
      <w:kern w:val="2"/>
    </w:rPr>
  </w:style>
  <w:style w:type="character" w:customStyle="1" w:styleId="79">
    <w:name w:val="页眉 Char"/>
    <w:link w:val="30"/>
    <w:qFormat/>
    <w:uiPriority w:val="99"/>
    <w:rPr>
      <w:kern w:val="2"/>
      <w:sz w:val="18"/>
      <w:szCs w:val="18"/>
    </w:rPr>
  </w:style>
  <w:style w:type="paragraph" w:customStyle="1" w:styleId="80">
    <w:name w:val="Default"/>
    <w:link w:val="217"/>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customStyle="1" w:styleId="81">
    <w:name w:val="主题"/>
    <w:basedOn w:val="1"/>
    <w:qFormat/>
    <w:uiPriority w:val="0"/>
  </w:style>
  <w:style w:type="paragraph" w:customStyle="1" w:styleId="82">
    <w:name w:val="默认段落字体 Para Char Char Char Char Char Char Char Char Char3 Char Char Char Char"/>
    <w:basedOn w:val="16"/>
    <w:qFormat/>
    <w:uiPriority w:val="0"/>
    <w:pPr>
      <w:spacing w:line="436" w:lineRule="exact"/>
      <w:ind w:left="357"/>
      <w:jc w:val="left"/>
      <w:outlineLvl w:val="3"/>
    </w:pPr>
    <w:rPr>
      <w:rFonts w:ascii="Tahoma" w:hAnsi="Tahoma"/>
      <w:b/>
      <w:sz w:val="24"/>
    </w:rPr>
  </w:style>
  <w:style w:type="paragraph" w:customStyle="1" w:styleId="83">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character" w:customStyle="1" w:styleId="84">
    <w:name w:val="日期 Char"/>
    <w:link w:val="26"/>
    <w:qFormat/>
    <w:uiPriority w:val="0"/>
    <w:rPr>
      <w:rFonts w:ascii="宋体" w:hAnsi="Courier New"/>
      <w:kern w:val="2"/>
      <w:sz w:val="32"/>
    </w:rPr>
  </w:style>
  <w:style w:type="paragraph" w:customStyle="1" w:styleId="85">
    <w:name w:val="表1黑体居中"/>
    <w:basedOn w:val="1"/>
    <w:qFormat/>
    <w:uiPriority w:val="0"/>
    <w:pPr>
      <w:ind w:firstLine="435"/>
      <w:jc w:val="center"/>
      <w:textAlignment w:val="baseline"/>
    </w:pPr>
    <w:rPr>
      <w:rFonts w:ascii="黑体" w:eastAsia="黑体"/>
      <w:szCs w:val="21"/>
    </w:rPr>
  </w:style>
  <w:style w:type="paragraph" w:customStyle="1" w:styleId="86">
    <w:name w:val="MaoC2"/>
    <w:basedOn w:val="1"/>
    <w:qFormat/>
    <w:uiPriority w:val="0"/>
    <w:pPr>
      <w:numPr>
        <w:ilvl w:val="1"/>
        <w:numId w:val="2"/>
      </w:numPr>
      <w:spacing w:line="480" w:lineRule="auto"/>
      <w:outlineLvl w:val="1"/>
    </w:pPr>
    <w:rPr>
      <w:rFonts w:ascii="黑体" w:eastAsia="黑体"/>
      <w:szCs w:val="20"/>
    </w:rPr>
  </w:style>
  <w:style w:type="paragraph" w:customStyle="1" w:styleId="87">
    <w:name w:val="图目录4"/>
    <w:basedOn w:val="1"/>
    <w:next w:val="1"/>
    <w:qFormat/>
    <w:uiPriority w:val="0"/>
    <w:pPr>
      <w:numPr>
        <w:ilvl w:val="0"/>
        <w:numId w:val="3"/>
      </w:numPr>
      <w:ind w:hanging="448"/>
      <w:jc w:val="center"/>
      <w:textAlignment w:val="baseline"/>
    </w:pPr>
    <w:rPr>
      <w:szCs w:val="20"/>
    </w:rPr>
  </w:style>
  <w:style w:type="paragraph" w:customStyle="1" w:styleId="8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89">
    <w:name w:val="列出段落 Char"/>
    <w:link w:val="78"/>
    <w:qFormat/>
    <w:uiPriority w:val="0"/>
    <w:rPr>
      <w:kern w:val="2"/>
      <w:sz w:val="21"/>
      <w:szCs w:val="24"/>
    </w:rPr>
  </w:style>
  <w:style w:type="table" w:customStyle="1" w:styleId="90">
    <w:name w:val="Table Normal"/>
    <w:qFormat/>
    <w:uiPriority w:val="0"/>
    <w:pPr>
      <w:spacing w:line="360" w:lineRule="auto"/>
      <w:jc w:val="both"/>
    </w:pPr>
    <w:tblPr>
      <w:tblCellMar>
        <w:top w:w="0" w:type="dxa"/>
        <w:left w:w="0" w:type="dxa"/>
        <w:bottom w:w="0" w:type="dxa"/>
        <w:right w:w="0" w:type="dxa"/>
      </w:tblCellMar>
    </w:tblPr>
  </w:style>
  <w:style w:type="paragraph" w:customStyle="1" w:styleId="91">
    <w:name w:val="样式1"/>
    <w:basedOn w:val="1"/>
    <w:qFormat/>
    <w:uiPriority w:val="0"/>
    <w:pPr>
      <w:keepNext/>
      <w:keepLines/>
      <w:numPr>
        <w:ilvl w:val="0"/>
        <w:numId w:val="4"/>
      </w:numPr>
      <w:spacing w:before="340" w:after="330"/>
      <w:outlineLvl w:val="0"/>
    </w:pPr>
    <w:rPr>
      <w:b/>
      <w:kern w:val="44"/>
      <w:sz w:val="44"/>
      <w:szCs w:val="20"/>
    </w:rPr>
  </w:style>
  <w:style w:type="paragraph" w:customStyle="1" w:styleId="92">
    <w:name w:val="参数内容"/>
    <w:basedOn w:val="78"/>
    <w:qFormat/>
    <w:uiPriority w:val="0"/>
    <w:pPr>
      <w:numPr>
        <w:ilvl w:val="0"/>
        <w:numId w:val="5"/>
      </w:numPr>
      <w:ind w:firstLine="0" w:firstLineChars="0"/>
    </w:pPr>
    <w:rPr>
      <w:szCs w:val="18"/>
    </w:rPr>
  </w:style>
  <w:style w:type="paragraph" w:customStyle="1" w:styleId="93">
    <w:name w:val="标准正文"/>
    <w:basedOn w:val="21"/>
    <w:link w:val="94"/>
    <w:qFormat/>
    <w:uiPriority w:val="0"/>
    <w:pPr>
      <w:spacing w:before="60" w:after="60"/>
      <w:ind w:firstLine="482" w:firstLineChars="0"/>
      <w:jc w:val="left"/>
    </w:pPr>
    <w:rPr>
      <w:rFonts w:ascii="宋体" w:hAnsi="宋体"/>
      <w:kern w:val="0"/>
      <w:sz w:val="24"/>
      <w:szCs w:val="20"/>
    </w:rPr>
  </w:style>
  <w:style w:type="character" w:customStyle="1" w:styleId="94">
    <w:name w:val="标准正文 Char"/>
    <w:link w:val="93"/>
    <w:qFormat/>
    <w:uiPriority w:val="0"/>
    <w:rPr>
      <w:rFonts w:ascii="宋体" w:hAnsi="宋体" w:cs="宋体"/>
      <w:sz w:val="24"/>
    </w:rPr>
  </w:style>
  <w:style w:type="paragraph" w:customStyle="1" w:styleId="95">
    <w:name w:val="下级参数内容"/>
    <w:basedOn w:val="78"/>
    <w:qFormat/>
    <w:uiPriority w:val="0"/>
    <w:pPr>
      <w:numPr>
        <w:ilvl w:val="0"/>
        <w:numId w:val="6"/>
      </w:numPr>
      <w:ind w:left="1134" w:firstLine="0" w:firstLineChars="0"/>
    </w:pPr>
    <w:rPr>
      <w:rFonts w:ascii="仿宋" w:hAnsi="仿宋"/>
    </w:rPr>
  </w:style>
  <w:style w:type="paragraph" w:customStyle="1" w:styleId="96">
    <w:name w:val="Char Char Char1"/>
    <w:basedOn w:val="1"/>
    <w:qFormat/>
    <w:uiPriority w:val="0"/>
    <w:rPr>
      <w:rFonts w:ascii="Tahoma" w:hAnsi="Tahoma"/>
      <w:sz w:val="24"/>
      <w:szCs w:val="20"/>
    </w:rPr>
  </w:style>
  <w:style w:type="paragraph" w:customStyle="1" w:styleId="97">
    <w:name w:val="Char Char10 Char Char"/>
    <w:basedOn w:val="16"/>
    <w:qFormat/>
    <w:uiPriority w:val="0"/>
    <w:rPr>
      <w:rFonts w:ascii="Tahoma" w:hAnsi="Tahoma"/>
      <w:sz w:val="24"/>
    </w:rPr>
  </w:style>
  <w:style w:type="paragraph" w:customStyle="1" w:styleId="98">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99">
    <w:name w:val="font5"/>
    <w:basedOn w:val="1"/>
    <w:qFormat/>
    <w:uiPriority w:val="0"/>
    <w:pPr>
      <w:spacing w:before="100" w:beforeAutospacing="1" w:after="100" w:afterAutospacing="1"/>
      <w:jc w:val="left"/>
    </w:pPr>
    <w:rPr>
      <w:sz w:val="18"/>
      <w:szCs w:val="18"/>
    </w:rPr>
  </w:style>
  <w:style w:type="paragraph" w:customStyle="1" w:styleId="10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101">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2">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10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104">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105">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106">
    <w:name w:val="样式2"/>
    <w:basedOn w:val="2"/>
    <w:qFormat/>
    <w:uiPriority w:val="0"/>
    <w:pPr>
      <w:keepNext/>
      <w:keepLines/>
      <w:spacing w:before="0" w:after="0" w:line="578" w:lineRule="auto"/>
      <w:ind w:left="1200" w:hanging="420"/>
      <w:jc w:val="both"/>
    </w:pPr>
    <w:rPr>
      <w:rFonts w:eastAsia="宋体"/>
      <w:szCs w:val="44"/>
    </w:rPr>
  </w:style>
  <w:style w:type="paragraph" w:customStyle="1" w:styleId="107">
    <w:name w:val="样式3"/>
    <w:basedOn w:val="1"/>
    <w:qFormat/>
    <w:uiPriority w:val="0"/>
    <w:pPr>
      <w:ind w:left="1620" w:hanging="420"/>
      <w:outlineLvl w:val="2"/>
    </w:pPr>
    <w:rPr>
      <w:b/>
    </w:rPr>
  </w:style>
  <w:style w:type="paragraph" w:customStyle="1" w:styleId="108">
    <w:name w:val="样式4"/>
    <w:basedOn w:val="78"/>
    <w:qFormat/>
    <w:uiPriority w:val="0"/>
    <w:pPr>
      <w:ind w:left="2040" w:firstLine="0" w:firstLineChars="0"/>
      <w:jc w:val="left"/>
      <w:outlineLvl w:val="3"/>
    </w:pPr>
    <w:rPr>
      <w:rFonts w:ascii="宋体" w:hAnsi="宋体"/>
    </w:rPr>
  </w:style>
  <w:style w:type="character" w:customStyle="1" w:styleId="109">
    <w:name w:val="页脚 Char"/>
    <w:link w:val="29"/>
    <w:qFormat/>
    <w:uiPriority w:val="99"/>
    <w:rPr>
      <w:kern w:val="2"/>
      <w:sz w:val="18"/>
      <w:szCs w:val="18"/>
    </w:rPr>
  </w:style>
  <w:style w:type="character" w:customStyle="1" w:styleId="110">
    <w:name w:val="批注框文本 Char"/>
    <w:link w:val="28"/>
    <w:semiHidden/>
    <w:qFormat/>
    <w:uiPriority w:val="0"/>
    <w:rPr>
      <w:kern w:val="2"/>
      <w:sz w:val="18"/>
      <w:szCs w:val="18"/>
    </w:rPr>
  </w:style>
  <w:style w:type="character" w:customStyle="1" w:styleId="111">
    <w:name w:val="文档结构图 Char"/>
    <w:link w:val="16"/>
    <w:semiHidden/>
    <w:qFormat/>
    <w:uiPriority w:val="0"/>
    <w:rPr>
      <w:kern w:val="2"/>
      <w:sz w:val="21"/>
      <w:szCs w:val="24"/>
      <w:shd w:val="clear" w:color="auto" w:fill="000080"/>
    </w:rPr>
  </w:style>
  <w:style w:type="paragraph" w:customStyle="1" w:styleId="112">
    <w:name w:val="p0"/>
    <w:basedOn w:val="1"/>
    <w:qFormat/>
    <w:uiPriority w:val="0"/>
    <w:rPr>
      <w:rFonts w:ascii="Calibri" w:hAnsi="Calibri"/>
      <w:szCs w:val="21"/>
    </w:rPr>
  </w:style>
  <w:style w:type="paragraph" w:customStyle="1" w:styleId="113">
    <w:name w:val="图标题"/>
    <w:basedOn w:val="1"/>
    <w:link w:val="117"/>
    <w:qFormat/>
    <w:uiPriority w:val="0"/>
    <w:pPr>
      <w:jc w:val="center"/>
    </w:pPr>
    <w:rPr>
      <w:rFonts w:cs="Times New Roman"/>
      <w:kern w:val="2"/>
    </w:rPr>
  </w:style>
  <w:style w:type="paragraph" w:customStyle="1" w:styleId="114">
    <w:name w:val="表标题"/>
    <w:basedOn w:val="1"/>
    <w:qFormat/>
    <w:uiPriority w:val="0"/>
    <w:pPr>
      <w:jc w:val="center"/>
    </w:pPr>
    <w:rPr>
      <w:rFonts w:eastAsia="黑体"/>
      <w:b/>
    </w:rPr>
  </w:style>
  <w:style w:type="paragraph" w:customStyle="1" w:styleId="115">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116">
    <w:name w:val="正文-1级列表-(1)"/>
    <w:basedOn w:val="1"/>
    <w:qFormat/>
    <w:uiPriority w:val="0"/>
    <w:pPr>
      <w:tabs>
        <w:tab w:val="left" w:pos="420"/>
        <w:tab w:val="clear" w:pos="426"/>
      </w:tabs>
      <w:ind w:left="800"/>
    </w:pPr>
    <w:rPr>
      <w:sz w:val="24"/>
      <w:lang w:val="en-GB"/>
    </w:rPr>
  </w:style>
  <w:style w:type="character" w:customStyle="1" w:styleId="117">
    <w:name w:val="图标题 Char"/>
    <w:link w:val="113"/>
    <w:qFormat/>
    <w:uiPriority w:val="0"/>
    <w:rPr>
      <w:rFonts w:ascii="宋体" w:hAnsi="宋体"/>
      <w:kern w:val="2"/>
      <w:sz w:val="21"/>
      <w:szCs w:val="24"/>
    </w:rPr>
  </w:style>
  <w:style w:type="character" w:customStyle="1" w:styleId="118">
    <w:name w:val="标题 5 Char"/>
    <w:link w:val="6"/>
    <w:qFormat/>
    <w:uiPriority w:val="0"/>
    <w:rPr>
      <w:b/>
      <w:kern w:val="2"/>
      <w:sz w:val="24"/>
    </w:rPr>
  </w:style>
  <w:style w:type="character" w:customStyle="1" w:styleId="119">
    <w:name w:val="标题 6 Char"/>
    <w:link w:val="8"/>
    <w:qFormat/>
    <w:uiPriority w:val="0"/>
    <w:rPr>
      <w:rFonts w:ascii="Arial" w:hAnsi="Arial" w:eastAsia="黑体"/>
      <w:b/>
      <w:kern w:val="2"/>
      <w:sz w:val="24"/>
    </w:rPr>
  </w:style>
  <w:style w:type="character" w:customStyle="1" w:styleId="120">
    <w:name w:val="标题 7 Char"/>
    <w:link w:val="9"/>
    <w:qFormat/>
    <w:uiPriority w:val="0"/>
    <w:rPr>
      <w:b/>
      <w:kern w:val="2"/>
      <w:sz w:val="24"/>
    </w:rPr>
  </w:style>
  <w:style w:type="character" w:customStyle="1" w:styleId="121">
    <w:name w:val="标题 8 Char"/>
    <w:link w:val="10"/>
    <w:qFormat/>
    <w:uiPriority w:val="0"/>
    <w:rPr>
      <w:rFonts w:ascii="Arial" w:hAnsi="Arial" w:eastAsia="黑体"/>
      <w:kern w:val="2"/>
      <w:sz w:val="24"/>
    </w:rPr>
  </w:style>
  <w:style w:type="character" w:customStyle="1" w:styleId="122">
    <w:name w:val="标题 9 Char"/>
    <w:link w:val="11"/>
    <w:qFormat/>
    <w:uiPriority w:val="0"/>
    <w:rPr>
      <w:rFonts w:ascii="Arial" w:hAnsi="Arial" w:eastAsia="黑体"/>
      <w:kern w:val="2"/>
      <w:sz w:val="21"/>
    </w:rPr>
  </w:style>
  <w:style w:type="paragraph" w:customStyle="1" w:styleId="123">
    <w:name w:val="样式 标题 1 + 段前: 0.5 行 段后: 0.5 行"/>
    <w:basedOn w:val="2"/>
    <w:qFormat/>
    <w:uiPriority w:val="0"/>
    <w:pPr>
      <w:keepNext/>
      <w:keepLines/>
      <w:numPr>
        <w:ilvl w:val="0"/>
        <w:numId w:val="7"/>
      </w:numPr>
      <w:spacing w:beforeLines="50" w:afterLines="50" w:line="578" w:lineRule="auto"/>
      <w:ind w:left="0" w:firstLine="0"/>
      <w:jc w:val="both"/>
    </w:pPr>
    <w:rPr>
      <w:rFonts w:ascii="Times New Roman" w:hAnsi="Times New Roman" w:eastAsia="宋体" w:cs="宋体"/>
      <w:sz w:val="44"/>
      <w:szCs w:val="20"/>
    </w:rPr>
  </w:style>
  <w:style w:type="paragraph" w:customStyle="1" w:styleId="124">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125">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126">
    <w:name w:val="￥正文"/>
    <w:basedOn w:val="1"/>
    <w:link w:val="127"/>
    <w:qFormat/>
    <w:uiPriority w:val="0"/>
    <w:pPr>
      <w:ind w:firstLine="200" w:firstLineChars="200"/>
    </w:pPr>
    <w:rPr>
      <w:rFonts w:ascii="Calibri" w:hAnsi="Calibri" w:cs="Times New Roman"/>
      <w:kern w:val="2"/>
      <w:sz w:val="24"/>
      <w:szCs w:val="20"/>
    </w:rPr>
  </w:style>
  <w:style w:type="character" w:customStyle="1" w:styleId="127">
    <w:name w:val="￥正文 Char"/>
    <w:link w:val="126"/>
    <w:qFormat/>
    <w:uiPriority w:val="0"/>
    <w:rPr>
      <w:rFonts w:ascii="Calibri" w:hAnsi="Calibri"/>
      <w:kern w:val="2"/>
      <w:sz w:val="24"/>
    </w:rPr>
  </w:style>
  <w:style w:type="paragraph" w:customStyle="1" w:styleId="128">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129">
    <w:name w:val="!项目ALT+P"/>
    <w:basedOn w:val="1"/>
    <w:qFormat/>
    <w:uiPriority w:val="0"/>
    <w:pPr>
      <w:numPr>
        <w:ilvl w:val="0"/>
        <w:numId w:val="8"/>
      </w:numPr>
      <w:spacing w:line="320" w:lineRule="atLeast"/>
      <w:ind w:firstLine="0"/>
      <w:textAlignment w:val="baseline"/>
    </w:pPr>
    <w:rPr>
      <w:szCs w:val="21"/>
    </w:rPr>
  </w:style>
  <w:style w:type="paragraph" w:customStyle="1" w:styleId="130">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131">
    <w:name w:val="正文内容"/>
    <w:basedOn w:val="1"/>
    <w:next w:val="16"/>
    <w:link w:val="132"/>
    <w:qFormat/>
    <w:uiPriority w:val="0"/>
    <w:rPr>
      <w:rFonts w:ascii="Times New Roman" w:hAnsi="Times New Roman" w:cs="Times New Roman"/>
      <w:sz w:val="20"/>
    </w:rPr>
  </w:style>
  <w:style w:type="character" w:customStyle="1" w:styleId="132">
    <w:name w:val="正文内容 Char"/>
    <w:link w:val="131"/>
    <w:qFormat/>
    <w:uiPriority w:val="0"/>
    <w:rPr>
      <w:szCs w:val="24"/>
    </w:rPr>
  </w:style>
  <w:style w:type="paragraph" w:customStyle="1" w:styleId="133">
    <w:name w:val="方案标题1"/>
    <w:basedOn w:val="42"/>
    <w:qFormat/>
    <w:uiPriority w:val="0"/>
    <w:pPr>
      <w:numPr>
        <w:ilvl w:val="0"/>
        <w:numId w:val="9"/>
      </w:numPr>
      <w:spacing w:beforeLines="50" w:afterLines="50"/>
      <w:ind w:firstLine="200" w:firstLineChars="200"/>
      <w:jc w:val="both"/>
    </w:pPr>
    <w:rPr>
      <w:color w:val="000000"/>
    </w:rPr>
  </w:style>
  <w:style w:type="paragraph" w:customStyle="1" w:styleId="134">
    <w:name w:val="方案标题2"/>
    <w:basedOn w:val="42"/>
    <w:qFormat/>
    <w:uiPriority w:val="0"/>
    <w:pPr>
      <w:numPr>
        <w:ilvl w:val="1"/>
        <w:numId w:val="9"/>
      </w:numPr>
      <w:spacing w:beforeLines="50" w:afterLines="50"/>
      <w:ind w:firstLine="200" w:firstLineChars="200"/>
      <w:jc w:val="left"/>
      <w:outlineLvl w:val="1"/>
    </w:pPr>
    <w:rPr>
      <w:rFonts w:eastAsia="仿宋_GB2312"/>
      <w:color w:val="000000"/>
      <w:sz w:val="30"/>
      <w:szCs w:val="30"/>
    </w:rPr>
  </w:style>
  <w:style w:type="paragraph" w:customStyle="1" w:styleId="135">
    <w:name w:val="方案标题3"/>
    <w:basedOn w:val="42"/>
    <w:qFormat/>
    <w:uiPriority w:val="0"/>
    <w:pPr>
      <w:numPr>
        <w:ilvl w:val="2"/>
        <w:numId w:val="9"/>
      </w:numPr>
      <w:spacing w:beforeLines="50" w:afterLines="50" w:line="440" w:lineRule="exact"/>
      <w:ind w:firstLine="200" w:firstLineChars="200"/>
      <w:jc w:val="left"/>
      <w:outlineLvl w:val="2"/>
    </w:pPr>
    <w:rPr>
      <w:rFonts w:ascii="黑体" w:eastAsia="黑体"/>
      <w:color w:val="000000"/>
      <w:sz w:val="28"/>
      <w:szCs w:val="24"/>
    </w:rPr>
  </w:style>
  <w:style w:type="character" w:customStyle="1" w:styleId="136">
    <w:name w:val="标题 Char"/>
    <w:link w:val="42"/>
    <w:qFormat/>
    <w:uiPriority w:val="0"/>
    <w:rPr>
      <w:rFonts w:ascii="Arial" w:hAnsi="Arial" w:cs="Arial"/>
      <w:b/>
      <w:bCs/>
      <w:kern w:val="2"/>
      <w:sz w:val="36"/>
      <w:szCs w:val="32"/>
    </w:rPr>
  </w:style>
  <w:style w:type="paragraph" w:customStyle="1" w:styleId="137">
    <w:name w:val="正文Land"/>
    <w:basedOn w:val="1"/>
    <w:qFormat/>
    <w:uiPriority w:val="0"/>
    <w:pPr>
      <w:spacing w:beforeLines="20" w:afterLines="50"/>
      <w:ind w:firstLine="200" w:firstLineChars="200"/>
    </w:pPr>
    <w:rPr>
      <w:color w:val="000000"/>
      <w:sz w:val="24"/>
    </w:rPr>
  </w:style>
  <w:style w:type="paragraph" w:customStyle="1" w:styleId="138">
    <w:name w:val="样式5"/>
    <w:basedOn w:val="1"/>
    <w:qFormat/>
    <w:uiPriority w:val="0"/>
    <w:pPr>
      <w:numPr>
        <w:ilvl w:val="0"/>
        <w:numId w:val="10"/>
      </w:numPr>
      <w:spacing w:beforeLines="50" w:afterLines="50"/>
      <w:ind w:firstLine="0"/>
    </w:pPr>
    <w:rPr>
      <w:rFonts w:eastAsia="仿宋_GB2312"/>
      <w:color w:val="000000"/>
      <w:sz w:val="24"/>
    </w:rPr>
  </w:style>
  <w:style w:type="paragraph" w:customStyle="1" w:styleId="139">
    <w:name w:val="font6"/>
    <w:basedOn w:val="1"/>
    <w:qFormat/>
    <w:uiPriority w:val="0"/>
    <w:pPr>
      <w:spacing w:beforeAutospacing="1" w:afterAutospacing="1"/>
      <w:jc w:val="left"/>
    </w:pPr>
    <w:rPr>
      <w:sz w:val="18"/>
      <w:szCs w:val="18"/>
    </w:rPr>
  </w:style>
  <w:style w:type="paragraph" w:customStyle="1" w:styleId="140">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41">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142">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3">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144">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145">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146">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147">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149">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150">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152">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153">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154">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155">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6">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157">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158">
    <w:name w:val="xl87"/>
    <w:basedOn w:val="1"/>
    <w:qFormat/>
    <w:uiPriority w:val="0"/>
    <w:pPr>
      <w:spacing w:beforeAutospacing="1" w:afterAutospacing="1"/>
      <w:jc w:val="left"/>
    </w:pPr>
    <w:rPr>
      <w:sz w:val="24"/>
    </w:rPr>
  </w:style>
  <w:style w:type="paragraph" w:customStyle="1" w:styleId="159">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160">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161">
    <w:name w:val="Bulleted Items--Level 2"/>
    <w:basedOn w:val="1"/>
    <w:qFormat/>
    <w:uiPriority w:val="0"/>
    <w:pPr>
      <w:numPr>
        <w:ilvl w:val="0"/>
        <w:numId w:val="11"/>
      </w:numPr>
      <w:tabs>
        <w:tab w:val="left" w:pos="1771"/>
        <w:tab w:val="left" w:pos="2520"/>
        <w:tab w:val="clear" w:pos="360"/>
      </w:tabs>
      <w:spacing w:line="280" w:lineRule="exact"/>
      <w:ind w:left="2520" w:firstLine="0"/>
    </w:pPr>
    <w:rPr>
      <w:color w:val="000000"/>
      <w:sz w:val="22"/>
      <w:szCs w:val="20"/>
      <w:lang w:eastAsia="en-US"/>
    </w:rPr>
  </w:style>
  <w:style w:type="paragraph" w:customStyle="1" w:styleId="162">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163">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164">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165">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66">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67">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168">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169">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170">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171">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172">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173">
    <w:name w:val="xl101"/>
    <w:basedOn w:val="1"/>
    <w:qFormat/>
    <w:uiPriority w:val="0"/>
    <w:pPr>
      <w:spacing w:beforeAutospacing="1" w:afterAutospacing="1"/>
      <w:jc w:val="left"/>
      <w:textAlignment w:val="center"/>
    </w:pPr>
    <w:rPr>
      <w:color w:val="FF0000"/>
      <w:sz w:val="20"/>
      <w:szCs w:val="20"/>
    </w:rPr>
  </w:style>
  <w:style w:type="paragraph" w:customStyle="1" w:styleId="174">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175">
    <w:name w:val="xl103"/>
    <w:basedOn w:val="1"/>
    <w:qFormat/>
    <w:uiPriority w:val="0"/>
    <w:pPr>
      <w:spacing w:beforeAutospacing="1" w:afterAutospacing="1"/>
      <w:jc w:val="left"/>
      <w:textAlignment w:val="center"/>
    </w:pPr>
    <w:rPr>
      <w:color w:val="FF0000"/>
      <w:sz w:val="22"/>
      <w:szCs w:val="22"/>
    </w:rPr>
  </w:style>
  <w:style w:type="paragraph" w:customStyle="1" w:styleId="176">
    <w:name w:val="xl104"/>
    <w:basedOn w:val="1"/>
    <w:qFormat/>
    <w:uiPriority w:val="0"/>
    <w:pPr>
      <w:spacing w:beforeAutospacing="1" w:afterAutospacing="1"/>
      <w:jc w:val="center"/>
    </w:pPr>
    <w:rPr>
      <w:sz w:val="24"/>
    </w:rPr>
  </w:style>
  <w:style w:type="paragraph" w:customStyle="1" w:styleId="177">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178">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179">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180">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181">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182">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183">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1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85">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186">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187">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8">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189">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190">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191">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2">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193">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194">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195">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6">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197">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198">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199">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20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201">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202">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203">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4">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5">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206">
    <w:name w:val="样式 首行缩进:  0 字符"/>
    <w:basedOn w:val="1"/>
    <w:qFormat/>
    <w:uiPriority w:val="0"/>
    <w:pPr>
      <w:ind w:firstLine="200" w:firstLineChars="200"/>
    </w:pPr>
    <w:rPr>
      <w:sz w:val="24"/>
      <w:szCs w:val="20"/>
    </w:rPr>
  </w:style>
  <w:style w:type="paragraph" w:customStyle="1" w:styleId="207">
    <w:name w:val="5"/>
    <w:basedOn w:val="1"/>
    <w:qFormat/>
    <w:uiPriority w:val="0"/>
    <w:pPr>
      <w:ind w:firstLine="200" w:firstLineChars="200"/>
      <w:jc w:val="left"/>
    </w:pPr>
    <w:rPr>
      <w:sz w:val="24"/>
    </w:rPr>
  </w:style>
  <w:style w:type="paragraph" w:customStyle="1" w:styleId="208">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209">
    <w:name w:val="附件标题"/>
    <w:basedOn w:val="1"/>
    <w:qFormat/>
    <w:uiPriority w:val="0"/>
    <w:pPr>
      <w:ind w:firstLine="200" w:firstLineChars="200"/>
      <w:jc w:val="center"/>
    </w:pPr>
    <w:rPr>
      <w:rFonts w:ascii="Arial" w:hAnsi="Arial" w:eastAsia="黑体"/>
      <w:sz w:val="24"/>
    </w:rPr>
  </w:style>
  <w:style w:type="paragraph" w:customStyle="1" w:styleId="210">
    <w:name w:val="附件(1)"/>
    <w:basedOn w:val="1"/>
    <w:qFormat/>
    <w:uiPriority w:val="0"/>
    <w:pPr>
      <w:numPr>
        <w:ilvl w:val="0"/>
        <w:numId w:val="12"/>
      </w:numPr>
      <w:ind w:firstLine="200" w:firstLineChars="200"/>
    </w:pPr>
    <w:rPr>
      <w:sz w:val="24"/>
    </w:rPr>
  </w:style>
  <w:style w:type="paragraph" w:customStyle="1" w:styleId="21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212">
    <w:name w:val="附件圈"/>
    <w:basedOn w:val="210"/>
    <w:qFormat/>
    <w:uiPriority w:val="0"/>
    <w:pPr>
      <w:numPr>
        <w:numId w:val="0"/>
      </w:numPr>
      <w:tabs>
        <w:tab w:val="left" w:pos="420"/>
        <w:tab w:val="clear" w:pos="426"/>
      </w:tabs>
      <w:ind w:firstLine="420" w:firstLineChars="200"/>
    </w:pPr>
  </w:style>
  <w:style w:type="character" w:customStyle="1" w:styleId="213">
    <w:name w:val="正文文本缩进 2 Char"/>
    <w:link w:val="27"/>
    <w:qFormat/>
    <w:uiPriority w:val="0"/>
    <w:rPr>
      <w:rFonts w:ascii="宋体" w:hAnsi="宋体"/>
      <w:kern w:val="2"/>
      <w:sz w:val="21"/>
      <w:szCs w:val="24"/>
    </w:rPr>
  </w:style>
  <w:style w:type="character" w:customStyle="1" w:styleId="214">
    <w:name w:val="正文文本缩进 Char"/>
    <w:link w:val="21"/>
    <w:qFormat/>
    <w:uiPriority w:val="0"/>
    <w:rPr>
      <w:kern w:val="2"/>
      <w:sz w:val="21"/>
      <w:szCs w:val="24"/>
    </w:rPr>
  </w:style>
  <w:style w:type="paragraph" w:customStyle="1" w:styleId="215">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216">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character" w:customStyle="1" w:styleId="217">
    <w:name w:val="Default Char"/>
    <w:link w:val="80"/>
    <w:qFormat/>
    <w:uiPriority w:val="0"/>
    <w:rPr>
      <w:rFonts w:ascii="宋体" w:hAnsi="Calibri"/>
      <w:color w:val="000000"/>
      <w:sz w:val="24"/>
      <w:szCs w:val="24"/>
      <w:lang w:bidi="ar-SA"/>
    </w:rPr>
  </w:style>
  <w:style w:type="paragraph" w:customStyle="1" w:styleId="218">
    <w:name w:val="CM51"/>
    <w:basedOn w:val="80"/>
    <w:next w:val="80"/>
    <w:qFormat/>
    <w:uiPriority w:val="0"/>
    <w:pPr>
      <w:spacing w:after="103"/>
    </w:pPr>
    <w:rPr>
      <w:rFonts w:ascii="黑体" w:eastAsia="黑体"/>
      <w:color w:val="auto"/>
    </w:rPr>
  </w:style>
  <w:style w:type="paragraph" w:customStyle="1" w:styleId="219">
    <w:name w:val="pan"/>
    <w:basedOn w:val="78"/>
    <w:link w:val="220"/>
    <w:qFormat/>
    <w:uiPriority w:val="0"/>
    <w:pPr>
      <w:numPr>
        <w:ilvl w:val="0"/>
        <w:numId w:val="13"/>
      </w:numPr>
      <w:tabs>
        <w:tab w:val="left" w:pos="840"/>
      </w:tabs>
      <w:ind w:left="840" w:hanging="420" w:firstLineChars="0"/>
      <w:outlineLvl w:val="0"/>
    </w:pPr>
    <w:rPr>
      <w:rFonts w:ascii="黑体" w:hAnsi="黑体" w:eastAsia="黑体"/>
      <w:sz w:val="32"/>
      <w:szCs w:val="32"/>
    </w:rPr>
  </w:style>
  <w:style w:type="character" w:customStyle="1" w:styleId="220">
    <w:name w:val="pan Char"/>
    <w:link w:val="219"/>
    <w:qFormat/>
    <w:uiPriority w:val="0"/>
    <w:rPr>
      <w:rFonts w:ascii="黑体" w:hAnsi="黑体" w:eastAsia="黑体"/>
      <w:kern w:val="2"/>
      <w:sz w:val="32"/>
      <w:szCs w:val="32"/>
      <w:shd w:val="clear" w:color="auto" w:fill="FFFFFF"/>
    </w:rPr>
  </w:style>
  <w:style w:type="paragraph" w:customStyle="1" w:styleId="221">
    <w:name w:val="pan2"/>
    <w:basedOn w:val="78"/>
    <w:link w:val="222"/>
    <w:qFormat/>
    <w:uiPriority w:val="0"/>
    <w:pPr>
      <w:numPr>
        <w:ilvl w:val="1"/>
        <w:numId w:val="13"/>
      </w:numPr>
      <w:tabs>
        <w:tab w:val="left" w:pos="840"/>
      </w:tabs>
      <w:ind w:left="840" w:hanging="420" w:firstLineChars="0"/>
      <w:outlineLvl w:val="1"/>
    </w:pPr>
    <w:rPr>
      <w:rFonts w:ascii="黑体" w:hAnsi="黑体" w:eastAsia="黑体"/>
      <w:sz w:val="30"/>
      <w:szCs w:val="30"/>
    </w:rPr>
  </w:style>
  <w:style w:type="character" w:customStyle="1" w:styleId="222">
    <w:name w:val="pan2 Char"/>
    <w:link w:val="221"/>
    <w:qFormat/>
    <w:uiPriority w:val="0"/>
    <w:rPr>
      <w:rFonts w:ascii="黑体" w:hAnsi="黑体" w:eastAsia="黑体"/>
      <w:kern w:val="2"/>
      <w:sz w:val="30"/>
      <w:szCs w:val="30"/>
      <w:shd w:val="clear" w:color="auto" w:fill="FFFFFF"/>
    </w:rPr>
  </w:style>
  <w:style w:type="paragraph" w:customStyle="1" w:styleId="223">
    <w:name w:val="pan3"/>
    <w:basedOn w:val="78"/>
    <w:link w:val="224"/>
    <w:qFormat/>
    <w:uiPriority w:val="0"/>
    <w:pPr>
      <w:numPr>
        <w:ilvl w:val="2"/>
        <w:numId w:val="13"/>
      </w:numPr>
      <w:tabs>
        <w:tab w:val="left" w:pos="1260"/>
      </w:tabs>
      <w:ind w:left="1260" w:hanging="420" w:firstLineChars="0"/>
      <w:outlineLvl w:val="2"/>
    </w:pPr>
    <w:rPr>
      <w:rFonts w:ascii="黑体" w:hAnsi="黑体" w:eastAsia="黑体"/>
      <w:sz w:val="28"/>
      <w:szCs w:val="28"/>
    </w:rPr>
  </w:style>
  <w:style w:type="character" w:customStyle="1" w:styleId="224">
    <w:name w:val="pan3 Char"/>
    <w:link w:val="223"/>
    <w:qFormat/>
    <w:uiPriority w:val="0"/>
    <w:rPr>
      <w:rFonts w:ascii="黑体" w:hAnsi="黑体" w:eastAsia="黑体"/>
      <w:kern w:val="2"/>
      <w:sz w:val="28"/>
      <w:szCs w:val="28"/>
      <w:shd w:val="clear" w:color="auto" w:fill="FFFFFF"/>
    </w:rPr>
  </w:style>
  <w:style w:type="paragraph" w:customStyle="1" w:styleId="225">
    <w:name w:val="pan4"/>
    <w:basedOn w:val="78"/>
    <w:link w:val="226"/>
    <w:qFormat/>
    <w:uiPriority w:val="0"/>
    <w:pPr>
      <w:numPr>
        <w:ilvl w:val="3"/>
        <w:numId w:val="13"/>
      </w:numPr>
      <w:tabs>
        <w:tab w:val="left" w:pos="1680"/>
      </w:tabs>
      <w:ind w:left="1680" w:hanging="420" w:firstLineChars="0"/>
      <w:outlineLvl w:val="3"/>
    </w:pPr>
    <w:rPr>
      <w:rFonts w:ascii="黑体" w:hAnsi="黑体" w:eastAsia="黑体"/>
      <w:sz w:val="28"/>
      <w:szCs w:val="28"/>
    </w:rPr>
  </w:style>
  <w:style w:type="character" w:customStyle="1" w:styleId="226">
    <w:name w:val="pan4 Char"/>
    <w:link w:val="225"/>
    <w:qFormat/>
    <w:uiPriority w:val="0"/>
    <w:rPr>
      <w:rFonts w:ascii="黑体" w:hAnsi="黑体" w:eastAsia="黑体"/>
      <w:kern w:val="2"/>
      <w:sz w:val="28"/>
      <w:szCs w:val="28"/>
      <w:shd w:val="clear" w:color="auto" w:fill="FFFFFF"/>
    </w:rPr>
  </w:style>
  <w:style w:type="paragraph" w:customStyle="1" w:styleId="227">
    <w:name w:val="pan5"/>
    <w:basedOn w:val="78"/>
    <w:link w:val="228"/>
    <w:qFormat/>
    <w:uiPriority w:val="0"/>
    <w:pPr>
      <w:numPr>
        <w:ilvl w:val="4"/>
        <w:numId w:val="13"/>
      </w:numPr>
      <w:tabs>
        <w:tab w:val="left" w:pos="1008"/>
      </w:tabs>
      <w:ind w:left="1008" w:hanging="1008" w:firstLineChars="0"/>
      <w:outlineLvl w:val="4"/>
    </w:pPr>
    <w:rPr>
      <w:rFonts w:ascii="黑体" w:hAnsi="黑体" w:eastAsia="黑体"/>
      <w:sz w:val="24"/>
    </w:rPr>
  </w:style>
  <w:style w:type="character" w:customStyle="1" w:styleId="228">
    <w:name w:val="pan5 Char"/>
    <w:link w:val="227"/>
    <w:qFormat/>
    <w:uiPriority w:val="0"/>
    <w:rPr>
      <w:rFonts w:ascii="黑体" w:hAnsi="黑体" w:eastAsia="黑体"/>
      <w:kern w:val="2"/>
      <w:sz w:val="24"/>
      <w:szCs w:val="24"/>
      <w:shd w:val="clear" w:color="auto" w:fill="FFFFFF"/>
    </w:rPr>
  </w:style>
  <w:style w:type="paragraph" w:customStyle="1" w:styleId="229">
    <w:name w:val="一级标题"/>
    <w:basedOn w:val="78"/>
    <w:link w:val="231"/>
    <w:qFormat/>
    <w:uiPriority w:val="0"/>
    <w:pPr>
      <w:numPr>
        <w:ilvl w:val="0"/>
        <w:numId w:val="14"/>
      </w:numPr>
      <w:spacing w:line="720" w:lineRule="auto"/>
      <w:ind w:firstLineChars="0"/>
      <w:jc w:val="center"/>
      <w:outlineLvl w:val="0"/>
    </w:pPr>
    <w:rPr>
      <w:rFonts w:ascii="黑体" w:hAnsi="黑体" w:eastAsia="黑体"/>
      <w:sz w:val="44"/>
      <w:szCs w:val="44"/>
    </w:rPr>
  </w:style>
  <w:style w:type="paragraph" w:customStyle="1" w:styleId="230">
    <w:name w:val="二级标题"/>
    <w:basedOn w:val="78"/>
    <w:link w:val="233"/>
    <w:qFormat/>
    <w:uiPriority w:val="0"/>
    <w:pPr>
      <w:numPr>
        <w:ilvl w:val="1"/>
        <w:numId w:val="14"/>
      </w:numPr>
      <w:spacing w:line="720" w:lineRule="auto"/>
      <w:ind w:firstLineChars="0"/>
      <w:outlineLvl w:val="1"/>
    </w:pPr>
    <w:rPr>
      <w:rFonts w:ascii="黑体" w:hAnsi="黑体" w:eastAsia="黑体"/>
      <w:sz w:val="36"/>
      <w:szCs w:val="36"/>
    </w:rPr>
  </w:style>
  <w:style w:type="character" w:customStyle="1" w:styleId="231">
    <w:name w:val="一级标题 Char"/>
    <w:link w:val="229"/>
    <w:qFormat/>
    <w:uiPriority w:val="0"/>
    <w:rPr>
      <w:rFonts w:ascii="黑体" w:hAnsi="黑体" w:eastAsia="黑体"/>
      <w:kern w:val="2"/>
      <w:sz w:val="44"/>
      <w:szCs w:val="44"/>
      <w:shd w:val="clear" w:color="auto" w:fill="FFFFFF"/>
    </w:rPr>
  </w:style>
  <w:style w:type="paragraph" w:customStyle="1" w:styleId="232">
    <w:name w:val="三级标题"/>
    <w:basedOn w:val="78"/>
    <w:link w:val="235"/>
    <w:qFormat/>
    <w:uiPriority w:val="0"/>
    <w:pPr>
      <w:numPr>
        <w:ilvl w:val="2"/>
        <w:numId w:val="14"/>
      </w:numPr>
      <w:spacing w:line="720" w:lineRule="auto"/>
      <w:ind w:firstLineChars="0"/>
      <w:outlineLvl w:val="2"/>
    </w:pPr>
    <w:rPr>
      <w:rFonts w:ascii="黑体" w:hAnsi="黑体" w:eastAsia="黑体"/>
      <w:sz w:val="32"/>
      <w:szCs w:val="32"/>
    </w:rPr>
  </w:style>
  <w:style w:type="character" w:customStyle="1" w:styleId="233">
    <w:name w:val="二级标题 Char"/>
    <w:link w:val="230"/>
    <w:qFormat/>
    <w:uiPriority w:val="0"/>
    <w:rPr>
      <w:rFonts w:ascii="黑体" w:hAnsi="黑体" w:eastAsia="黑体"/>
      <w:kern w:val="2"/>
      <w:sz w:val="36"/>
      <w:szCs w:val="36"/>
      <w:shd w:val="clear" w:color="auto" w:fill="FFFFFF"/>
    </w:rPr>
  </w:style>
  <w:style w:type="paragraph" w:customStyle="1" w:styleId="234">
    <w:name w:val="四级标题"/>
    <w:basedOn w:val="78"/>
    <w:link w:val="237"/>
    <w:qFormat/>
    <w:uiPriority w:val="0"/>
    <w:pPr>
      <w:numPr>
        <w:ilvl w:val="3"/>
        <w:numId w:val="14"/>
      </w:numPr>
      <w:spacing w:line="720" w:lineRule="auto"/>
      <w:ind w:firstLineChars="0"/>
      <w:outlineLvl w:val="3"/>
    </w:pPr>
    <w:rPr>
      <w:rFonts w:ascii="黑体" w:hAnsi="黑体" w:eastAsia="黑体"/>
      <w:sz w:val="30"/>
      <w:szCs w:val="30"/>
    </w:rPr>
  </w:style>
  <w:style w:type="character" w:customStyle="1" w:styleId="235">
    <w:name w:val="三级标题 Char"/>
    <w:link w:val="232"/>
    <w:qFormat/>
    <w:uiPriority w:val="0"/>
    <w:rPr>
      <w:rFonts w:ascii="黑体" w:hAnsi="黑体" w:eastAsia="黑体"/>
      <w:kern w:val="2"/>
      <w:sz w:val="32"/>
      <w:szCs w:val="32"/>
      <w:shd w:val="clear" w:color="auto" w:fill="FFFFFF"/>
    </w:rPr>
  </w:style>
  <w:style w:type="paragraph" w:customStyle="1" w:styleId="236">
    <w:name w:val="五级标题"/>
    <w:basedOn w:val="78"/>
    <w:link w:val="238"/>
    <w:qFormat/>
    <w:uiPriority w:val="0"/>
    <w:pPr>
      <w:numPr>
        <w:ilvl w:val="4"/>
        <w:numId w:val="14"/>
      </w:numPr>
      <w:spacing w:line="720" w:lineRule="auto"/>
      <w:ind w:firstLineChars="0"/>
      <w:outlineLvl w:val="4"/>
    </w:pPr>
    <w:rPr>
      <w:rFonts w:ascii="黑体" w:hAnsi="黑体" w:eastAsia="黑体"/>
      <w:sz w:val="28"/>
      <w:szCs w:val="28"/>
    </w:rPr>
  </w:style>
  <w:style w:type="character" w:customStyle="1" w:styleId="237">
    <w:name w:val="四级标题 Char"/>
    <w:link w:val="234"/>
    <w:qFormat/>
    <w:uiPriority w:val="0"/>
    <w:rPr>
      <w:rFonts w:ascii="黑体" w:hAnsi="黑体" w:eastAsia="黑体"/>
      <w:kern w:val="2"/>
      <w:sz w:val="30"/>
      <w:szCs w:val="30"/>
      <w:shd w:val="clear" w:color="auto" w:fill="FFFFFF"/>
    </w:rPr>
  </w:style>
  <w:style w:type="character" w:customStyle="1" w:styleId="238">
    <w:name w:val="五级标题 Char"/>
    <w:link w:val="236"/>
    <w:qFormat/>
    <w:uiPriority w:val="0"/>
    <w:rPr>
      <w:rFonts w:ascii="黑体" w:hAnsi="黑体" w:eastAsia="黑体"/>
      <w:kern w:val="2"/>
      <w:sz w:val="28"/>
      <w:szCs w:val="28"/>
      <w:shd w:val="clear" w:color="auto" w:fill="FFFFFF"/>
    </w:rPr>
  </w:style>
  <w:style w:type="paragraph" w:customStyle="1" w:styleId="239">
    <w:name w:val="图片"/>
    <w:basedOn w:val="1"/>
    <w:link w:val="241"/>
    <w:qFormat/>
    <w:uiPriority w:val="0"/>
    <w:pPr>
      <w:ind w:firstLine="200" w:firstLineChars="200"/>
      <w:jc w:val="center"/>
    </w:pPr>
    <w:rPr>
      <w:rFonts w:cs="Times New Roman"/>
      <w:kern w:val="2"/>
      <w:sz w:val="24"/>
    </w:rPr>
  </w:style>
  <w:style w:type="paragraph" w:customStyle="1" w:styleId="240">
    <w:name w:val="图片注释"/>
    <w:basedOn w:val="1"/>
    <w:link w:val="242"/>
    <w:qFormat/>
    <w:uiPriority w:val="0"/>
    <w:pPr>
      <w:spacing w:afterLines="25"/>
      <w:ind w:firstLine="200" w:firstLineChars="200"/>
      <w:jc w:val="center"/>
    </w:pPr>
    <w:rPr>
      <w:rFonts w:cs="Times New Roman"/>
      <w:kern w:val="2"/>
      <w:sz w:val="24"/>
      <w:u w:val="single"/>
    </w:rPr>
  </w:style>
  <w:style w:type="character" w:customStyle="1" w:styleId="241">
    <w:name w:val="图片 Char"/>
    <w:link w:val="239"/>
    <w:qFormat/>
    <w:uiPriority w:val="0"/>
    <w:rPr>
      <w:rFonts w:ascii="宋体" w:hAnsi="宋体"/>
      <w:kern w:val="2"/>
      <w:sz w:val="24"/>
      <w:szCs w:val="24"/>
    </w:rPr>
  </w:style>
  <w:style w:type="character" w:customStyle="1" w:styleId="242">
    <w:name w:val="图片注释 Char"/>
    <w:link w:val="240"/>
    <w:qFormat/>
    <w:uiPriority w:val="0"/>
    <w:rPr>
      <w:rFonts w:ascii="宋体" w:hAnsi="宋体"/>
      <w:kern w:val="2"/>
      <w:sz w:val="24"/>
      <w:szCs w:val="24"/>
      <w:u w:val="single"/>
    </w:rPr>
  </w:style>
  <w:style w:type="paragraph" w:customStyle="1" w:styleId="243">
    <w:name w:val="段内层标"/>
    <w:basedOn w:val="131"/>
    <w:link w:val="244"/>
    <w:qFormat/>
    <w:uiPriority w:val="0"/>
    <w:pPr>
      <w:numPr>
        <w:ilvl w:val="0"/>
        <w:numId w:val="15"/>
      </w:numPr>
      <w:spacing w:beforeLines="25" w:afterLines="25"/>
      <w:ind w:firstLine="200" w:firstLineChars="200"/>
    </w:pPr>
    <w:rPr>
      <w:rFonts w:ascii="宋体" w:hAnsi="宋体"/>
      <w:b/>
      <w:kern w:val="2"/>
      <w:sz w:val="28"/>
      <w:szCs w:val="28"/>
    </w:rPr>
  </w:style>
  <w:style w:type="character" w:customStyle="1" w:styleId="244">
    <w:name w:val="段内层标 Char"/>
    <w:link w:val="243"/>
    <w:qFormat/>
    <w:uiPriority w:val="0"/>
    <w:rPr>
      <w:rFonts w:ascii="宋体" w:hAnsi="宋体"/>
      <w:b/>
      <w:kern w:val="2"/>
      <w:sz w:val="28"/>
      <w:szCs w:val="28"/>
      <w:shd w:val="clear" w:color="auto" w:fill="FFFFFF"/>
    </w:rPr>
  </w:style>
  <w:style w:type="paragraph" w:customStyle="1" w:styleId="245">
    <w:name w:val="方案设计1级标题"/>
    <w:basedOn w:val="7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246">
    <w:name w:val="方案设计2级标题"/>
    <w:basedOn w:val="78"/>
    <w:qFormat/>
    <w:uiPriority w:val="0"/>
    <w:pPr>
      <w:numPr>
        <w:ilvl w:val="1"/>
        <w:numId w:val="16"/>
      </w:numPr>
      <w:ind w:firstLine="0" w:firstLineChars="0"/>
      <w:outlineLvl w:val="1"/>
    </w:pPr>
    <w:rPr>
      <w:rFonts w:ascii="黑体" w:hAnsi="黑体" w:eastAsia="黑体"/>
      <w:sz w:val="32"/>
      <w:szCs w:val="32"/>
    </w:rPr>
  </w:style>
  <w:style w:type="paragraph" w:customStyle="1" w:styleId="247">
    <w:name w:val="标题3"/>
    <w:basedOn w:val="78"/>
    <w:link w:val="252"/>
    <w:qFormat/>
    <w:uiPriority w:val="0"/>
    <w:pPr>
      <w:numPr>
        <w:ilvl w:val="2"/>
        <w:numId w:val="16"/>
      </w:numPr>
      <w:ind w:firstLine="0" w:firstLineChars="0"/>
      <w:outlineLvl w:val="2"/>
    </w:pPr>
    <w:rPr>
      <w:rFonts w:ascii="黑体" w:hAnsi="黑体" w:eastAsia="黑体"/>
      <w:sz w:val="28"/>
      <w:szCs w:val="28"/>
    </w:rPr>
  </w:style>
  <w:style w:type="paragraph" w:customStyle="1" w:styleId="248">
    <w:name w:val="标题5"/>
    <w:basedOn w:val="7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249">
    <w:name w:val="正文标题"/>
    <w:basedOn w:val="1"/>
    <w:link w:val="250"/>
    <w:qFormat/>
    <w:uiPriority w:val="0"/>
    <w:pPr>
      <w:numPr>
        <w:ilvl w:val="0"/>
        <w:numId w:val="16"/>
      </w:numPr>
      <w:ind w:firstLine="200" w:firstLineChars="200"/>
    </w:pPr>
    <w:rPr>
      <w:rFonts w:ascii="Calibri" w:hAnsi="Calibri" w:cs="Times New Roman"/>
      <w:b/>
      <w:kern w:val="2"/>
      <w:sz w:val="28"/>
      <w:szCs w:val="28"/>
    </w:rPr>
  </w:style>
  <w:style w:type="character" w:customStyle="1" w:styleId="250">
    <w:name w:val="正文标题 Char"/>
    <w:link w:val="249"/>
    <w:qFormat/>
    <w:uiPriority w:val="0"/>
    <w:rPr>
      <w:rFonts w:ascii="Calibri" w:hAnsi="Calibri"/>
      <w:b/>
      <w:kern w:val="2"/>
      <w:sz w:val="28"/>
      <w:szCs w:val="28"/>
      <w:shd w:val="clear" w:color="auto" w:fill="FFFFFF"/>
    </w:rPr>
  </w:style>
  <w:style w:type="character" w:customStyle="1" w:styleId="251">
    <w:name w:val="批注主题 Char"/>
    <w:link w:val="43"/>
    <w:qFormat/>
    <w:uiPriority w:val="0"/>
    <w:rPr>
      <w:b/>
      <w:bCs/>
      <w:kern w:val="2"/>
      <w:sz w:val="21"/>
      <w:szCs w:val="24"/>
    </w:rPr>
  </w:style>
  <w:style w:type="character" w:customStyle="1" w:styleId="252">
    <w:name w:val="标题3 Char"/>
    <w:link w:val="247"/>
    <w:qFormat/>
    <w:uiPriority w:val="0"/>
    <w:rPr>
      <w:rFonts w:ascii="黑体" w:hAnsi="黑体" w:eastAsia="黑体"/>
      <w:kern w:val="2"/>
      <w:sz w:val="28"/>
      <w:szCs w:val="28"/>
      <w:shd w:val="clear" w:color="auto" w:fill="FFFFFF"/>
    </w:rPr>
  </w:style>
  <w:style w:type="paragraph" w:customStyle="1" w:styleId="253">
    <w:name w:val="样式 Verdana 四号 首行缩进:  2 字符"/>
    <w:basedOn w:val="1"/>
    <w:qFormat/>
    <w:uiPriority w:val="0"/>
    <w:pPr>
      <w:ind w:firstLine="560" w:firstLineChars="200"/>
      <w:jc w:val="left"/>
    </w:pPr>
    <w:rPr>
      <w:rFonts w:ascii="Verdana" w:hAnsi="Verdana"/>
      <w:sz w:val="24"/>
      <w:szCs w:val="20"/>
    </w:rPr>
  </w:style>
  <w:style w:type="paragraph" w:customStyle="1" w:styleId="254">
    <w:name w:val="层标"/>
    <w:basedOn w:val="131"/>
    <w:link w:val="255"/>
    <w:qFormat/>
    <w:uiPriority w:val="0"/>
    <w:pPr>
      <w:numPr>
        <w:ilvl w:val="0"/>
        <w:numId w:val="17"/>
      </w:numPr>
      <w:spacing w:beforeLines="25" w:afterLines="25"/>
      <w:ind w:firstLine="0"/>
    </w:pPr>
    <w:rPr>
      <w:rFonts w:ascii="宋体" w:hAnsi="宋体"/>
      <w:b/>
      <w:kern w:val="2"/>
      <w:sz w:val="28"/>
      <w:szCs w:val="28"/>
    </w:rPr>
  </w:style>
  <w:style w:type="character" w:customStyle="1" w:styleId="255">
    <w:name w:val="层标 Char"/>
    <w:link w:val="254"/>
    <w:qFormat/>
    <w:uiPriority w:val="0"/>
    <w:rPr>
      <w:rFonts w:ascii="宋体" w:hAnsi="宋体"/>
      <w:b/>
      <w:kern w:val="2"/>
      <w:sz w:val="28"/>
      <w:szCs w:val="28"/>
      <w:shd w:val="clear" w:color="auto" w:fill="FFFFFF"/>
    </w:rPr>
  </w:style>
  <w:style w:type="paragraph" w:styleId="256">
    <w:name w:val="Quote"/>
    <w:basedOn w:val="1"/>
    <w:next w:val="1"/>
    <w:link w:val="257"/>
    <w:qFormat/>
    <w:uiPriority w:val="29"/>
    <w:pPr>
      <w:jc w:val="center"/>
    </w:pPr>
    <w:rPr>
      <w:rFonts w:ascii="Times New Roman" w:hAnsi="Times New Roman" w:cs="Times New Roman"/>
      <w:iCs/>
      <w:color w:val="000000"/>
      <w:kern w:val="2"/>
      <w:sz w:val="24"/>
    </w:rPr>
  </w:style>
  <w:style w:type="character" w:customStyle="1" w:styleId="257">
    <w:name w:val="引用 Char"/>
    <w:link w:val="256"/>
    <w:qFormat/>
    <w:uiPriority w:val="29"/>
    <w:rPr>
      <w:iCs/>
      <w:color w:val="000000"/>
      <w:kern w:val="2"/>
      <w:sz w:val="24"/>
      <w:szCs w:val="24"/>
    </w:rPr>
  </w:style>
  <w:style w:type="character" w:customStyle="1" w:styleId="258">
    <w:name w:val="明显参考1"/>
    <w:qFormat/>
    <w:uiPriority w:val="32"/>
    <w:rPr>
      <w:rFonts w:eastAsia="宋体"/>
      <w:bCs/>
      <w:smallCaps/>
      <w:color w:val="000000"/>
      <w:spacing w:val="5"/>
      <w:sz w:val="24"/>
      <w:u w:val="single"/>
    </w:rPr>
  </w:style>
  <w:style w:type="paragraph" w:customStyle="1" w:styleId="259">
    <w:name w:val="段落强调"/>
    <w:basedOn w:val="1"/>
    <w:link w:val="261"/>
    <w:qFormat/>
    <w:uiPriority w:val="0"/>
    <w:pPr>
      <w:numPr>
        <w:ilvl w:val="0"/>
        <w:numId w:val="18"/>
      </w:numPr>
      <w:ind w:left="0" w:firstLine="420"/>
    </w:pPr>
    <w:rPr>
      <w:rFonts w:ascii="Times New Roman" w:hAnsi="Times New Roman" w:cs="Times New Roman"/>
      <w:b/>
      <w:kern w:val="2"/>
      <w:sz w:val="24"/>
    </w:rPr>
  </w:style>
  <w:style w:type="character" w:customStyle="1" w:styleId="260">
    <w:name w:val="书籍标题1"/>
    <w:qFormat/>
    <w:uiPriority w:val="33"/>
    <w:rPr>
      <w:b/>
      <w:bCs/>
      <w:smallCaps/>
      <w:spacing w:val="5"/>
    </w:rPr>
  </w:style>
  <w:style w:type="character" w:customStyle="1" w:styleId="261">
    <w:name w:val="段落强调 Char"/>
    <w:link w:val="259"/>
    <w:qFormat/>
    <w:uiPriority w:val="0"/>
    <w:rPr>
      <w:b/>
      <w:kern w:val="2"/>
      <w:sz w:val="24"/>
      <w:szCs w:val="24"/>
      <w:shd w:val="clear" w:color="auto" w:fill="FFFFFF"/>
    </w:rPr>
  </w:style>
  <w:style w:type="paragraph" w:customStyle="1" w:styleId="262">
    <w:name w:val="段内主题"/>
    <w:basedOn w:val="1"/>
    <w:link w:val="264"/>
    <w:qFormat/>
    <w:uiPriority w:val="0"/>
    <w:pPr>
      <w:numPr>
        <w:ilvl w:val="1"/>
        <w:numId w:val="19"/>
      </w:numPr>
      <w:ind w:firstLine="0"/>
    </w:pPr>
    <w:rPr>
      <w:rFonts w:cs="Times New Roman"/>
      <w:b/>
      <w:kern w:val="2"/>
      <w:sz w:val="24"/>
    </w:rPr>
  </w:style>
  <w:style w:type="paragraph" w:customStyle="1" w:styleId="263">
    <w:name w:val="图片注释新"/>
    <w:basedOn w:val="240"/>
    <w:link w:val="265"/>
    <w:qFormat/>
    <w:uiPriority w:val="0"/>
    <w:pPr>
      <w:spacing w:after="81"/>
      <w:ind w:firstLine="0" w:firstLineChars="0"/>
    </w:pPr>
  </w:style>
  <w:style w:type="character" w:customStyle="1" w:styleId="264">
    <w:name w:val="段内主题 Char"/>
    <w:link w:val="262"/>
    <w:qFormat/>
    <w:uiPriority w:val="0"/>
    <w:rPr>
      <w:rFonts w:ascii="宋体" w:hAnsi="宋体"/>
      <w:b/>
      <w:kern w:val="2"/>
      <w:sz w:val="24"/>
      <w:szCs w:val="24"/>
      <w:shd w:val="clear" w:color="auto" w:fill="FFFFFF"/>
    </w:rPr>
  </w:style>
  <w:style w:type="character" w:customStyle="1" w:styleId="265">
    <w:name w:val="图片注释新 Char"/>
    <w:link w:val="263"/>
    <w:qFormat/>
    <w:uiPriority w:val="0"/>
    <w:rPr>
      <w:rFonts w:ascii="宋体" w:hAnsi="宋体"/>
      <w:kern w:val="2"/>
      <w:sz w:val="24"/>
      <w:szCs w:val="24"/>
      <w:u w:val="single"/>
    </w:rPr>
  </w:style>
  <w:style w:type="paragraph" w:customStyle="1" w:styleId="266">
    <w:name w:val="正文（缩进）"/>
    <w:basedOn w:val="1"/>
    <w:link w:val="267"/>
    <w:qFormat/>
    <w:uiPriority w:val="0"/>
    <w:pPr>
      <w:spacing w:beforeLines="50" w:afterLines="50"/>
      <w:ind w:firstLine="480" w:firstLineChars="200"/>
    </w:pPr>
    <w:rPr>
      <w:rFonts w:ascii="Times New Roman" w:hAnsi="Times New Roman" w:cs="Times New Roman"/>
      <w:sz w:val="24"/>
    </w:rPr>
  </w:style>
  <w:style w:type="character" w:customStyle="1" w:styleId="267">
    <w:name w:val="正文（缩进） Char"/>
    <w:link w:val="266"/>
    <w:qFormat/>
    <w:uiPriority w:val="0"/>
    <w:rPr>
      <w:sz w:val="24"/>
      <w:szCs w:val="24"/>
    </w:rPr>
  </w:style>
  <w:style w:type="character" w:customStyle="1" w:styleId="268">
    <w:name w:val="Char Char4"/>
    <w:qFormat/>
    <w:uiPriority w:val="0"/>
    <w:rPr>
      <w:rFonts w:eastAsia="宋体"/>
      <w:b/>
      <w:kern w:val="2"/>
      <w:sz w:val="24"/>
      <w:lang w:val="en-US" w:eastAsia="zh-CN" w:bidi="ar-SA"/>
    </w:rPr>
  </w:style>
  <w:style w:type="character" w:customStyle="1" w:styleId="269">
    <w:name w:val="正文文本缩进 3 Char"/>
    <w:link w:val="35"/>
    <w:qFormat/>
    <w:uiPriority w:val="0"/>
    <w:rPr>
      <w:rFonts w:ascii="宋体"/>
      <w:b/>
      <w:bCs/>
      <w:kern w:val="2"/>
      <w:sz w:val="24"/>
      <w:szCs w:val="24"/>
    </w:rPr>
  </w:style>
  <w:style w:type="paragraph" w:customStyle="1" w:styleId="270">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271">
    <w:name w:val="pa-2"/>
    <w:basedOn w:val="1"/>
    <w:qFormat/>
    <w:uiPriority w:val="0"/>
    <w:pPr>
      <w:spacing w:before="100" w:beforeAutospacing="1" w:after="100" w:afterAutospacing="1"/>
      <w:jc w:val="left"/>
    </w:pPr>
    <w:rPr>
      <w:sz w:val="24"/>
    </w:rPr>
  </w:style>
  <w:style w:type="character" w:customStyle="1" w:styleId="272">
    <w:name w:val="HTML 预设格式 Char"/>
    <w:link w:val="39"/>
    <w:qFormat/>
    <w:uiPriority w:val="0"/>
    <w:rPr>
      <w:rFonts w:ascii="Arial Unicode MS" w:hAnsi="Arial Unicode MS" w:eastAsia="Arial Unicode MS"/>
      <w:color w:val="000000"/>
    </w:rPr>
  </w:style>
  <w:style w:type="character" w:customStyle="1" w:styleId="273">
    <w:name w:val="正文文本 2 Char"/>
    <w:link w:val="38"/>
    <w:qFormat/>
    <w:uiPriority w:val="0"/>
    <w:rPr>
      <w:kern w:val="2"/>
      <w:sz w:val="24"/>
      <w:szCs w:val="24"/>
    </w:rPr>
  </w:style>
  <w:style w:type="character" w:customStyle="1" w:styleId="274">
    <w:name w:val="正文文本 3 Char"/>
    <w:link w:val="19"/>
    <w:qFormat/>
    <w:uiPriority w:val="0"/>
    <w:rPr>
      <w:kern w:val="2"/>
      <w:sz w:val="16"/>
      <w:szCs w:val="16"/>
    </w:rPr>
  </w:style>
  <w:style w:type="paragraph" w:customStyle="1" w:styleId="275">
    <w:name w:val="方案正文段落"/>
    <w:basedOn w:val="1"/>
    <w:link w:val="276"/>
    <w:qFormat/>
    <w:uiPriority w:val="0"/>
    <w:pPr>
      <w:ind w:firstLine="420" w:firstLineChars="200"/>
    </w:pPr>
    <w:rPr>
      <w:rFonts w:ascii="Times New Roman" w:hAnsi="Times New Roman" w:cs="Times New Roman"/>
      <w:kern w:val="2"/>
      <w:szCs w:val="20"/>
    </w:rPr>
  </w:style>
  <w:style w:type="character" w:customStyle="1" w:styleId="276">
    <w:name w:val="方案正文段落 Char"/>
    <w:link w:val="275"/>
    <w:qFormat/>
    <w:uiPriority w:val="0"/>
    <w:rPr>
      <w:kern w:val="2"/>
      <w:sz w:val="21"/>
    </w:rPr>
  </w:style>
  <w:style w:type="paragraph" w:customStyle="1" w:styleId="277">
    <w:name w:val="修订1"/>
    <w:hidden/>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278">
    <w:name w:val="模板正文"/>
    <w:basedOn w:val="1"/>
    <w:link w:val="279"/>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79">
    <w:name w:val="模板正文 Char"/>
    <w:link w:val="278"/>
    <w:qFormat/>
    <w:locked/>
    <w:uiPriority w:val="0"/>
    <w:rPr>
      <w:rFonts w:eastAsia="仿宋_GB2312"/>
      <w:sz w:val="28"/>
      <w:szCs w:val="21"/>
    </w:rPr>
  </w:style>
  <w:style w:type="paragraph" w:styleId="280">
    <w:name w:val="List Paragraph"/>
    <w:basedOn w:val="1"/>
    <w:link w:val="333"/>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281">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282">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283">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284">
    <w:name w:val="未处理的提及1"/>
    <w:basedOn w:val="47"/>
    <w:semiHidden/>
    <w:unhideWhenUsed/>
    <w:qFormat/>
    <w:uiPriority w:val="99"/>
    <w:rPr>
      <w:color w:val="605E5C"/>
      <w:shd w:val="clear" w:color="auto" w:fill="E1DFDD"/>
    </w:rPr>
  </w:style>
  <w:style w:type="character" w:customStyle="1" w:styleId="285">
    <w:name w:val="未处理的提及2"/>
    <w:basedOn w:val="47"/>
    <w:semiHidden/>
    <w:unhideWhenUsed/>
    <w:qFormat/>
    <w:uiPriority w:val="99"/>
    <w:rPr>
      <w:color w:val="605E5C"/>
      <w:shd w:val="clear" w:color="auto" w:fill="E1DFDD"/>
    </w:rPr>
  </w:style>
  <w:style w:type="character" w:customStyle="1" w:styleId="286">
    <w:name w:val="批注文字 Char1"/>
    <w:qFormat/>
    <w:uiPriority w:val="0"/>
    <w:rPr>
      <w:rFonts w:ascii="宋体" w:eastAsia="宋体"/>
      <w:sz w:val="34"/>
      <w:lang w:val="en-US" w:eastAsia="zh-CN" w:bidi="ar-SA"/>
    </w:rPr>
  </w:style>
  <w:style w:type="character" w:customStyle="1" w:styleId="287">
    <w:name w:val="未处理的提及3"/>
    <w:basedOn w:val="47"/>
    <w:semiHidden/>
    <w:unhideWhenUsed/>
    <w:qFormat/>
    <w:uiPriority w:val="99"/>
    <w:rPr>
      <w:color w:val="605E5C"/>
      <w:shd w:val="clear" w:color="auto" w:fill="E1DFDD"/>
    </w:rPr>
  </w:style>
  <w:style w:type="character" w:customStyle="1" w:styleId="288">
    <w:name w:val="标题 2 Char"/>
    <w:basedOn w:val="47"/>
    <w:link w:val="5"/>
    <w:qFormat/>
    <w:uiPriority w:val="0"/>
    <w:rPr>
      <w:rFonts w:ascii="宋体" w:hAnsi="宋体"/>
      <w:b/>
      <w:sz w:val="24"/>
      <w:shd w:val="clear" w:color="auto" w:fill="FFFFFF"/>
    </w:rPr>
  </w:style>
  <w:style w:type="character" w:customStyle="1" w:styleId="289">
    <w:name w:val="正文文本 Char"/>
    <w:basedOn w:val="47"/>
    <w:link w:val="20"/>
    <w:qFormat/>
    <w:uiPriority w:val="0"/>
    <w:rPr>
      <w:rFonts w:ascii="宋体" w:hAnsi="宋体" w:cs="宋体"/>
      <w:b/>
      <w:bCs/>
      <w:sz w:val="24"/>
      <w:szCs w:val="24"/>
      <w:shd w:val="clear" w:color="auto" w:fill="FFFFFF"/>
    </w:rPr>
  </w:style>
  <w:style w:type="paragraph" w:customStyle="1" w:styleId="290">
    <w:name w:val="Q标题1"/>
    <w:basedOn w:val="1"/>
    <w:link w:val="292"/>
    <w:qFormat/>
    <w:uiPriority w:val="0"/>
    <w:pPr>
      <w:widowControl w:val="0"/>
      <w:shd w:val="clear" w:color="auto" w:fill="auto"/>
      <w:tabs>
        <w:tab w:val="clear" w:pos="426"/>
      </w:tabs>
      <w:spacing w:line="300" w:lineRule="auto"/>
      <w:jc w:val="center"/>
    </w:pPr>
    <w:rPr>
      <w:rFonts w:cs="Times New Roman"/>
      <w:spacing w:val="26"/>
      <w:kern w:val="2"/>
      <w:sz w:val="72"/>
      <w:szCs w:val="20"/>
    </w:rPr>
  </w:style>
  <w:style w:type="paragraph" w:customStyle="1" w:styleId="291">
    <w:name w:val="Q编号1"/>
    <w:basedOn w:val="1"/>
    <w:link w:val="294"/>
    <w:qFormat/>
    <w:uiPriority w:val="0"/>
    <w:pPr>
      <w:tabs>
        <w:tab w:val="clear" w:pos="426"/>
      </w:tabs>
      <w:jc w:val="right"/>
    </w:pPr>
  </w:style>
  <w:style w:type="character" w:customStyle="1" w:styleId="292">
    <w:name w:val="Q标题1 字符"/>
    <w:basedOn w:val="47"/>
    <w:link w:val="290"/>
    <w:qFormat/>
    <w:uiPriority w:val="0"/>
    <w:rPr>
      <w:rFonts w:ascii="宋体" w:hAnsi="宋体"/>
      <w:spacing w:val="26"/>
      <w:kern w:val="2"/>
      <w:sz w:val="72"/>
    </w:rPr>
  </w:style>
  <w:style w:type="paragraph" w:customStyle="1" w:styleId="293">
    <w:name w:val="Q采购类型1"/>
    <w:basedOn w:val="1"/>
    <w:link w:val="296"/>
    <w:qFormat/>
    <w:uiPriority w:val="0"/>
    <w:pPr>
      <w:tabs>
        <w:tab w:val="clear" w:pos="426"/>
      </w:tabs>
      <w:jc w:val="center"/>
    </w:pPr>
    <w:rPr>
      <w:rFonts w:ascii="黑体" w:hAnsi="Arial" w:eastAsia="黑体" w:cs="Arial"/>
      <w:color w:val="000000"/>
      <w:sz w:val="52"/>
      <w:szCs w:val="52"/>
    </w:rPr>
  </w:style>
  <w:style w:type="character" w:customStyle="1" w:styleId="294">
    <w:name w:val="Q编号1 字符"/>
    <w:basedOn w:val="47"/>
    <w:link w:val="291"/>
    <w:qFormat/>
    <w:uiPriority w:val="0"/>
    <w:rPr>
      <w:rFonts w:ascii="宋体" w:hAnsi="宋体" w:cs="宋体"/>
      <w:sz w:val="21"/>
      <w:szCs w:val="24"/>
      <w:shd w:val="clear" w:color="auto" w:fill="FFFFFF"/>
    </w:rPr>
  </w:style>
  <w:style w:type="paragraph" w:customStyle="1" w:styleId="295">
    <w:name w:val="Q正文1"/>
    <w:basedOn w:val="1"/>
    <w:link w:val="298"/>
    <w:qFormat/>
    <w:uiPriority w:val="0"/>
    <w:pPr>
      <w:widowControl w:val="0"/>
      <w:shd w:val="clear" w:color="auto" w:fill="auto"/>
      <w:tabs>
        <w:tab w:val="clear" w:pos="426"/>
      </w:tabs>
      <w:spacing w:line="300" w:lineRule="auto"/>
      <w:ind w:hanging="1"/>
    </w:pPr>
    <w:rPr>
      <w:rFonts w:cs="Times New Roman"/>
      <w:kern w:val="2"/>
      <w:sz w:val="30"/>
      <w:szCs w:val="20"/>
    </w:rPr>
  </w:style>
  <w:style w:type="character" w:customStyle="1" w:styleId="296">
    <w:name w:val="Q采购类型1 字符"/>
    <w:basedOn w:val="47"/>
    <w:link w:val="293"/>
    <w:qFormat/>
    <w:uiPriority w:val="0"/>
    <w:rPr>
      <w:rFonts w:ascii="黑体" w:hAnsi="Arial" w:eastAsia="黑体" w:cs="Arial"/>
      <w:color w:val="000000"/>
      <w:sz w:val="52"/>
      <w:szCs w:val="52"/>
      <w:shd w:val="clear" w:color="auto" w:fill="FFFFFF"/>
    </w:rPr>
  </w:style>
  <w:style w:type="paragraph" w:customStyle="1" w:styleId="297">
    <w:name w:val="0编制指引"/>
    <w:basedOn w:val="1"/>
    <w:link w:val="300"/>
    <w:qFormat/>
    <w:uiPriority w:val="0"/>
    <w:pPr>
      <w:tabs>
        <w:tab w:val="clear" w:pos="426"/>
      </w:tabs>
      <w:spacing w:line="240" w:lineRule="auto"/>
      <w:ind w:firstLine="200" w:firstLineChars="200"/>
      <w:jc w:val="left"/>
    </w:pPr>
    <w:rPr>
      <w:i/>
      <w:iCs/>
      <w:color w:val="00B050"/>
    </w:rPr>
  </w:style>
  <w:style w:type="character" w:customStyle="1" w:styleId="298">
    <w:name w:val="Q正文1 字符"/>
    <w:basedOn w:val="47"/>
    <w:link w:val="295"/>
    <w:qFormat/>
    <w:uiPriority w:val="0"/>
    <w:rPr>
      <w:rFonts w:ascii="宋体" w:hAnsi="宋体"/>
      <w:kern w:val="2"/>
      <w:sz w:val="30"/>
    </w:rPr>
  </w:style>
  <w:style w:type="paragraph" w:customStyle="1" w:styleId="299">
    <w:name w:val="目录标题"/>
    <w:basedOn w:val="1"/>
    <w:link w:val="302"/>
    <w:qFormat/>
    <w:uiPriority w:val="0"/>
    <w:pPr>
      <w:tabs>
        <w:tab w:val="clear" w:pos="426"/>
      </w:tabs>
      <w:jc w:val="center"/>
    </w:pPr>
    <w:rPr>
      <w:b/>
      <w:sz w:val="32"/>
      <w:szCs w:val="32"/>
    </w:rPr>
  </w:style>
  <w:style w:type="character" w:customStyle="1" w:styleId="300">
    <w:name w:val="0编制指引 字符"/>
    <w:basedOn w:val="47"/>
    <w:link w:val="297"/>
    <w:qFormat/>
    <w:uiPriority w:val="0"/>
    <w:rPr>
      <w:rFonts w:ascii="宋体" w:hAnsi="宋体" w:cs="宋体"/>
      <w:i/>
      <w:iCs/>
      <w:color w:val="00B050"/>
      <w:sz w:val="21"/>
      <w:szCs w:val="24"/>
      <w:shd w:val="clear" w:color="auto" w:fill="FFFFFF"/>
    </w:rPr>
  </w:style>
  <w:style w:type="paragraph" w:customStyle="1" w:styleId="301">
    <w:name w:val="Z1级标题"/>
    <w:basedOn w:val="42"/>
    <w:link w:val="304"/>
    <w:qFormat/>
    <w:uiPriority w:val="0"/>
    <w:pPr>
      <w:tabs>
        <w:tab w:val="clear" w:pos="426"/>
      </w:tabs>
    </w:pPr>
  </w:style>
  <w:style w:type="character" w:customStyle="1" w:styleId="302">
    <w:name w:val="目录标题 字符"/>
    <w:basedOn w:val="47"/>
    <w:link w:val="299"/>
    <w:qFormat/>
    <w:uiPriority w:val="0"/>
    <w:rPr>
      <w:rFonts w:ascii="宋体" w:hAnsi="宋体" w:cs="宋体"/>
      <w:b/>
      <w:sz w:val="32"/>
      <w:szCs w:val="32"/>
      <w:shd w:val="clear" w:color="auto" w:fill="FFFFFF"/>
    </w:rPr>
  </w:style>
  <w:style w:type="paragraph" w:customStyle="1" w:styleId="303">
    <w:name w:val="页眉文字"/>
    <w:basedOn w:val="30"/>
    <w:link w:val="306"/>
    <w:qFormat/>
    <w:uiPriority w:val="0"/>
    <w:pPr>
      <w:spacing w:line="240" w:lineRule="auto"/>
    </w:pPr>
  </w:style>
  <w:style w:type="character" w:customStyle="1" w:styleId="304">
    <w:name w:val="Z1级标题 字符"/>
    <w:basedOn w:val="136"/>
    <w:link w:val="301"/>
    <w:qFormat/>
    <w:uiPriority w:val="0"/>
    <w:rPr>
      <w:rFonts w:ascii="Arial" w:hAnsi="Arial" w:cs="Arial"/>
      <w:kern w:val="2"/>
      <w:sz w:val="36"/>
      <w:szCs w:val="32"/>
      <w:shd w:val="clear" w:color="auto" w:fill="FFFFFF"/>
    </w:rPr>
  </w:style>
  <w:style w:type="paragraph" w:customStyle="1" w:styleId="305">
    <w:name w:val="0五号正文"/>
    <w:basedOn w:val="1"/>
    <w:link w:val="308"/>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306">
    <w:name w:val="页眉文字 字符"/>
    <w:basedOn w:val="79"/>
    <w:link w:val="303"/>
    <w:qFormat/>
    <w:uiPriority w:val="0"/>
    <w:rPr>
      <w:kern w:val="2"/>
      <w:sz w:val="18"/>
      <w:szCs w:val="18"/>
      <w:shd w:val="clear" w:color="auto" w:fill="FFFFFF"/>
    </w:rPr>
  </w:style>
  <w:style w:type="paragraph" w:customStyle="1" w:styleId="307">
    <w:name w:val="0表格正文"/>
    <w:basedOn w:val="1"/>
    <w:link w:val="310"/>
    <w:qFormat/>
    <w:uiPriority w:val="0"/>
    <w:pPr>
      <w:tabs>
        <w:tab w:val="clear" w:pos="426"/>
      </w:tabs>
      <w:spacing w:line="240" w:lineRule="auto"/>
      <w:jc w:val="left"/>
    </w:pPr>
    <w:rPr>
      <w:szCs w:val="21"/>
    </w:rPr>
  </w:style>
  <w:style w:type="character" w:customStyle="1" w:styleId="308">
    <w:name w:val="0五号正文 字符"/>
    <w:basedOn w:val="47"/>
    <w:link w:val="305"/>
    <w:qFormat/>
    <w:uiPriority w:val="0"/>
    <w:rPr>
      <w:rFonts w:ascii="宋体" w:hAnsi="宋体"/>
      <w:kern w:val="2"/>
      <w:sz w:val="21"/>
      <w:szCs w:val="21"/>
    </w:rPr>
  </w:style>
  <w:style w:type="paragraph" w:customStyle="1" w:styleId="309">
    <w:name w:val="Z2级标题"/>
    <w:basedOn w:val="33"/>
    <w:link w:val="312"/>
    <w:qFormat/>
    <w:uiPriority w:val="0"/>
    <w:pPr>
      <w:tabs>
        <w:tab w:val="clear" w:pos="426"/>
      </w:tabs>
    </w:pPr>
  </w:style>
  <w:style w:type="character" w:customStyle="1" w:styleId="310">
    <w:name w:val="0表格正文 字符"/>
    <w:basedOn w:val="47"/>
    <w:link w:val="307"/>
    <w:qFormat/>
    <w:uiPriority w:val="0"/>
    <w:rPr>
      <w:rFonts w:ascii="宋体" w:hAnsi="宋体" w:cs="宋体"/>
      <w:sz w:val="21"/>
      <w:szCs w:val="21"/>
      <w:shd w:val="clear" w:color="auto" w:fill="FFFFFF"/>
    </w:rPr>
  </w:style>
  <w:style w:type="paragraph" w:customStyle="1" w:styleId="311">
    <w:name w:val="B正文文本"/>
    <w:basedOn w:val="1"/>
    <w:link w:val="314"/>
    <w:qFormat/>
    <w:uiPriority w:val="0"/>
    <w:pPr>
      <w:tabs>
        <w:tab w:val="clear" w:pos="426"/>
      </w:tabs>
      <w:ind w:firstLine="424" w:firstLineChars="202"/>
    </w:pPr>
  </w:style>
  <w:style w:type="character" w:customStyle="1" w:styleId="312">
    <w:name w:val="Z2级标题 字符"/>
    <w:basedOn w:val="76"/>
    <w:link w:val="309"/>
    <w:qFormat/>
    <w:uiPriority w:val="0"/>
    <w:rPr>
      <w:rFonts w:ascii="Cambria" w:hAnsi="Cambria" w:cs="Times New Roman"/>
      <w:kern w:val="28"/>
      <w:sz w:val="28"/>
      <w:szCs w:val="32"/>
      <w:shd w:val="clear" w:color="auto" w:fill="FFFFFF"/>
    </w:rPr>
  </w:style>
  <w:style w:type="paragraph" w:customStyle="1" w:styleId="313">
    <w:name w:val="T2级标题"/>
    <w:basedOn w:val="5"/>
    <w:link w:val="316"/>
    <w:qFormat/>
    <w:uiPriority w:val="0"/>
  </w:style>
  <w:style w:type="character" w:customStyle="1" w:styleId="314">
    <w:name w:val="B正文文本 字符"/>
    <w:basedOn w:val="47"/>
    <w:link w:val="311"/>
    <w:qFormat/>
    <w:uiPriority w:val="0"/>
    <w:rPr>
      <w:rFonts w:ascii="宋体" w:hAnsi="宋体" w:cs="宋体"/>
      <w:sz w:val="21"/>
      <w:szCs w:val="24"/>
      <w:shd w:val="clear" w:color="auto" w:fill="FFFFFF"/>
    </w:rPr>
  </w:style>
  <w:style w:type="paragraph" w:customStyle="1" w:styleId="315">
    <w:name w:val="G2级标题"/>
    <w:basedOn w:val="1"/>
    <w:link w:val="318"/>
    <w:qFormat/>
    <w:uiPriority w:val="0"/>
    <w:pPr>
      <w:numPr>
        <w:ilvl w:val="0"/>
        <w:numId w:val="20"/>
      </w:numPr>
      <w:tabs>
        <w:tab w:val="clear" w:pos="426"/>
      </w:tabs>
      <w:spacing w:before="280" w:after="290" w:line="377" w:lineRule="auto"/>
      <w:ind w:left="0" w:firstLine="0"/>
      <w:jc w:val="left"/>
      <w:outlineLvl w:val="2"/>
    </w:pPr>
    <w:rPr>
      <w:b/>
      <w:sz w:val="24"/>
    </w:rPr>
  </w:style>
  <w:style w:type="character" w:customStyle="1" w:styleId="316">
    <w:name w:val="T2级标题 字符"/>
    <w:basedOn w:val="288"/>
    <w:link w:val="313"/>
    <w:qFormat/>
    <w:uiPriority w:val="0"/>
    <w:rPr>
      <w:rFonts w:ascii="宋体" w:hAnsi="宋体"/>
      <w:sz w:val="24"/>
      <w:shd w:val="clear" w:color="auto" w:fill="FFFFFF"/>
    </w:rPr>
  </w:style>
  <w:style w:type="paragraph" w:customStyle="1" w:styleId="317">
    <w:name w:val="表格备注"/>
    <w:basedOn w:val="1"/>
    <w:link w:val="320"/>
    <w:qFormat/>
    <w:uiPriority w:val="0"/>
    <w:pPr>
      <w:spacing w:line="240" w:lineRule="auto"/>
      <w:ind w:firstLine="422" w:firstLineChars="200"/>
    </w:pPr>
    <w:rPr>
      <w:b/>
    </w:rPr>
  </w:style>
  <w:style w:type="character" w:customStyle="1" w:styleId="318">
    <w:name w:val="G2级标题 字符"/>
    <w:basedOn w:val="47"/>
    <w:link w:val="315"/>
    <w:qFormat/>
    <w:uiPriority w:val="0"/>
    <w:rPr>
      <w:rFonts w:ascii="宋体" w:hAnsi="宋体" w:cs="宋体"/>
      <w:b/>
      <w:sz w:val="24"/>
      <w:szCs w:val="24"/>
      <w:shd w:val="clear" w:color="auto" w:fill="FFFFFF"/>
    </w:rPr>
  </w:style>
  <w:style w:type="paragraph" w:customStyle="1" w:styleId="319">
    <w:name w:val="Z3级左对齐标题"/>
    <w:basedOn w:val="1"/>
    <w:link w:val="322"/>
    <w:qFormat/>
    <w:uiPriority w:val="0"/>
    <w:pPr>
      <w:numPr>
        <w:ilvl w:val="0"/>
        <w:numId w:val="21"/>
      </w:numPr>
      <w:spacing w:before="280" w:after="290" w:line="377" w:lineRule="auto"/>
      <w:outlineLvl w:val="2"/>
    </w:pPr>
    <w:rPr>
      <w:b/>
      <w:sz w:val="24"/>
    </w:rPr>
  </w:style>
  <w:style w:type="character" w:customStyle="1" w:styleId="320">
    <w:name w:val="表格备注 字符"/>
    <w:basedOn w:val="47"/>
    <w:link w:val="317"/>
    <w:qFormat/>
    <w:uiPriority w:val="0"/>
    <w:rPr>
      <w:rFonts w:ascii="宋体" w:hAnsi="宋体" w:cs="宋体"/>
      <w:b/>
      <w:sz w:val="21"/>
      <w:szCs w:val="24"/>
      <w:shd w:val="clear" w:color="auto" w:fill="FFFFFF"/>
    </w:rPr>
  </w:style>
  <w:style w:type="paragraph" w:customStyle="1" w:styleId="321">
    <w:name w:val="Z3级居中标题"/>
    <w:basedOn w:val="1"/>
    <w:link w:val="324"/>
    <w:qFormat/>
    <w:uiPriority w:val="0"/>
    <w:pPr>
      <w:widowControl w:val="0"/>
      <w:tabs>
        <w:tab w:val="clear" w:pos="426"/>
      </w:tabs>
      <w:spacing w:before="280" w:after="290" w:line="377" w:lineRule="auto"/>
      <w:jc w:val="center"/>
      <w:outlineLvl w:val="2"/>
    </w:pPr>
    <w:rPr>
      <w:rFonts w:cs="Times New Roman"/>
      <w:b/>
      <w:kern w:val="2"/>
      <w:sz w:val="24"/>
    </w:rPr>
  </w:style>
  <w:style w:type="character" w:customStyle="1" w:styleId="322">
    <w:name w:val="Z3级左对齐标题 字符"/>
    <w:basedOn w:val="47"/>
    <w:link w:val="319"/>
    <w:qFormat/>
    <w:uiPriority w:val="0"/>
    <w:rPr>
      <w:rFonts w:ascii="宋体" w:hAnsi="宋体" w:cs="宋体"/>
      <w:b/>
      <w:sz w:val="24"/>
      <w:szCs w:val="24"/>
      <w:shd w:val="clear" w:color="auto" w:fill="FFFFFF"/>
    </w:rPr>
  </w:style>
  <w:style w:type="paragraph" w:customStyle="1" w:styleId="323">
    <w:name w:val="表格表头"/>
    <w:basedOn w:val="1"/>
    <w:link w:val="325"/>
    <w:qFormat/>
    <w:uiPriority w:val="0"/>
    <w:pPr>
      <w:tabs>
        <w:tab w:val="clear" w:pos="426"/>
      </w:tabs>
      <w:spacing w:line="240" w:lineRule="auto"/>
      <w:jc w:val="center"/>
    </w:pPr>
  </w:style>
  <w:style w:type="character" w:customStyle="1" w:styleId="324">
    <w:name w:val="Z3级居中标题 字符"/>
    <w:basedOn w:val="47"/>
    <w:link w:val="321"/>
    <w:qFormat/>
    <w:uiPriority w:val="0"/>
    <w:rPr>
      <w:rFonts w:ascii="宋体" w:hAnsi="宋体"/>
      <w:b/>
      <w:kern w:val="2"/>
      <w:sz w:val="24"/>
      <w:szCs w:val="24"/>
      <w:shd w:val="clear" w:color="auto" w:fill="FFFFFF"/>
    </w:rPr>
  </w:style>
  <w:style w:type="character" w:customStyle="1" w:styleId="325">
    <w:name w:val="表格表头 字符"/>
    <w:basedOn w:val="47"/>
    <w:link w:val="323"/>
    <w:qFormat/>
    <w:uiPriority w:val="0"/>
    <w:rPr>
      <w:rFonts w:ascii="宋体" w:hAnsi="宋体" w:cs="宋体"/>
      <w:sz w:val="21"/>
      <w:szCs w:val="24"/>
      <w:shd w:val="clear" w:color="auto" w:fill="FFFFFF"/>
    </w:rPr>
  </w:style>
  <w:style w:type="paragraph" w:customStyle="1" w:styleId="326">
    <w:name w:val="T3级标题"/>
    <w:basedOn w:val="319"/>
    <w:link w:val="327"/>
    <w:qFormat/>
    <w:uiPriority w:val="0"/>
    <w:pPr>
      <w:numPr>
        <w:ilvl w:val="0"/>
        <w:numId w:val="22"/>
      </w:numPr>
      <w:tabs>
        <w:tab w:val="clear" w:pos="426"/>
      </w:tabs>
      <w:ind w:firstLine="0"/>
    </w:pPr>
  </w:style>
  <w:style w:type="character" w:customStyle="1" w:styleId="327">
    <w:name w:val="T3级标题 字符"/>
    <w:basedOn w:val="322"/>
    <w:link w:val="326"/>
    <w:qFormat/>
    <w:uiPriority w:val="0"/>
    <w:rPr>
      <w:rFonts w:ascii="宋体" w:hAnsi="宋体" w:cs="宋体"/>
      <w:sz w:val="24"/>
      <w:szCs w:val="24"/>
      <w:shd w:val="clear" w:color="auto" w:fill="FFFFFF"/>
    </w:rPr>
  </w:style>
  <w:style w:type="paragraph" w:customStyle="1" w:styleId="328">
    <w:name w:val="T2级正文"/>
    <w:basedOn w:val="305"/>
    <w:link w:val="330"/>
    <w:qFormat/>
    <w:uiPriority w:val="0"/>
    <w:pPr>
      <w:numPr>
        <w:ilvl w:val="1"/>
        <w:numId w:val="22"/>
      </w:numPr>
      <w:ind w:firstLine="0" w:firstLineChars="0"/>
    </w:pPr>
  </w:style>
  <w:style w:type="paragraph" w:customStyle="1" w:styleId="329">
    <w:name w:val="T3级正文"/>
    <w:basedOn w:val="305"/>
    <w:link w:val="331"/>
    <w:qFormat/>
    <w:uiPriority w:val="0"/>
    <w:pPr>
      <w:numPr>
        <w:ilvl w:val="2"/>
        <w:numId w:val="22"/>
      </w:numPr>
      <w:ind w:firstLine="0" w:firstLineChars="0"/>
    </w:pPr>
  </w:style>
  <w:style w:type="character" w:customStyle="1" w:styleId="330">
    <w:name w:val="T2级正文 字符"/>
    <w:basedOn w:val="308"/>
    <w:link w:val="328"/>
    <w:qFormat/>
    <w:uiPriority w:val="0"/>
    <w:rPr>
      <w:rFonts w:ascii="宋体" w:hAnsi="宋体"/>
      <w:kern w:val="2"/>
      <w:sz w:val="21"/>
      <w:szCs w:val="21"/>
    </w:rPr>
  </w:style>
  <w:style w:type="character" w:customStyle="1" w:styleId="331">
    <w:name w:val="T3级正文 字符"/>
    <w:basedOn w:val="308"/>
    <w:link w:val="329"/>
    <w:qFormat/>
    <w:uiPriority w:val="0"/>
    <w:rPr>
      <w:rFonts w:ascii="宋体" w:hAnsi="宋体"/>
      <w:kern w:val="2"/>
      <w:sz w:val="21"/>
      <w:szCs w:val="21"/>
    </w:rPr>
  </w:style>
  <w:style w:type="paragraph" w:customStyle="1" w:styleId="332">
    <w:name w:val="合同标题"/>
    <w:basedOn w:val="280"/>
    <w:link w:val="334"/>
    <w:qFormat/>
    <w:uiPriority w:val="0"/>
    <w:pPr>
      <w:numPr>
        <w:ilvl w:val="0"/>
        <w:numId w:val="23"/>
      </w:numPr>
      <w:spacing w:line="240" w:lineRule="auto"/>
      <w:ind w:firstLine="0" w:firstLineChars="0"/>
    </w:pPr>
    <w:rPr>
      <w:b/>
      <w:bCs/>
      <w:sz w:val="21"/>
      <w:szCs w:val="21"/>
    </w:rPr>
  </w:style>
  <w:style w:type="character" w:customStyle="1" w:styleId="333">
    <w:name w:val="列出段落 Char1"/>
    <w:basedOn w:val="47"/>
    <w:link w:val="280"/>
    <w:qFormat/>
    <w:uiPriority w:val="34"/>
    <w:rPr>
      <w:kern w:val="2"/>
      <w:sz w:val="24"/>
      <w:szCs w:val="24"/>
    </w:rPr>
  </w:style>
  <w:style w:type="character" w:customStyle="1" w:styleId="334">
    <w:name w:val="合同标题 字符"/>
    <w:basedOn w:val="333"/>
    <w:link w:val="332"/>
    <w:qFormat/>
    <w:uiPriority w:val="0"/>
    <w:rPr>
      <w:b/>
      <w:bCs/>
      <w:kern w:val="2"/>
      <w:sz w:val="21"/>
      <w:szCs w:val="21"/>
    </w:rPr>
  </w:style>
  <w:style w:type="paragraph" w:customStyle="1" w:styleId="335">
    <w:name w:val="et14"/>
    <w:basedOn w:val="1"/>
    <w:qFormat/>
    <w:uiPriority w:val="0"/>
    <w:pPr>
      <w:pBdr>
        <w:top w:val="single" w:color="000000" w:sz="4" w:space="0"/>
        <w:bottom w:val="single" w:color="000000" w:sz="4" w:space="0"/>
        <w:right w:val="single" w:color="000000" w:sz="4" w:space="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336">
    <w:name w:val="et3"/>
    <w:basedOn w:val="1"/>
    <w:qFormat/>
    <w:uiPriority w:val="0"/>
    <w:pPr>
      <w:pBdr>
        <w:top w:val="single" w:color="000000" w:sz="4" w:space="0"/>
        <w:left w:val="single" w:color="000000" w:sz="4" w:space="0"/>
        <w:bottom w:val="single" w:color="000000" w:sz="4" w:space="0"/>
        <w:right w:val="single" w:color="000000" w:sz="4" w:space="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337">
    <w:name w:val="et11"/>
    <w:basedOn w:val="1"/>
    <w:qFormat/>
    <w:uiPriority w:val="0"/>
    <w:pPr>
      <w:pBdr>
        <w:top w:val="single" w:color="000000" w:sz="4" w:space="0"/>
        <w:left w:val="single" w:color="000000" w:sz="4" w:space="0"/>
        <w:bottom w:val="single" w:color="000000" w:sz="4" w:space="0"/>
        <w:right w:val="single" w:color="000000" w:sz="4" w:space="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table" w:customStyle="1" w:styleId="338">
    <w:name w:val="网格型1"/>
    <w:basedOn w:val="4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9">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340">
    <w:name w:val="未处理的提及11"/>
    <w:basedOn w:val="47"/>
    <w:semiHidden/>
    <w:unhideWhenUsed/>
    <w:qFormat/>
    <w:uiPriority w:val="99"/>
    <w:rPr>
      <w:color w:val="605E5C"/>
      <w:shd w:val="clear" w:color="auto" w:fill="E1DFDD"/>
    </w:rPr>
  </w:style>
  <w:style w:type="character" w:customStyle="1" w:styleId="341">
    <w:name w:val="mini-outputtext1"/>
    <w:basedOn w:val="47"/>
    <w:qFormat/>
    <w:uiPriority w:val="0"/>
  </w:style>
  <w:style w:type="table" w:customStyle="1" w:styleId="342">
    <w:name w:val="网格型11"/>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36728</Words>
  <Characters>41946</Characters>
  <Lines>72</Lines>
  <Paragraphs>90</Paragraphs>
  <TotalTime>6</TotalTime>
  <ScaleCrop>false</ScaleCrop>
  <LinksUpToDate>false</LinksUpToDate>
  <CharactersWithSpaces>42776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2022-04-02T08:21:00Z</dcterms:created>
  <dc:creator>Administrator</dc:creator>
  <cp:lastModifiedBy>鬆林</cp:lastModifiedBy>
  <cp:lastPrinted>2022-01-27T23:22:00Z</cp:lastPrinted>
  <dcterms:modified xsi:type="dcterms:W3CDTF">2022-04-03T13:39:18Z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24592B73751E4719B31D7FF7FA4145EF</vt:lpwstr>
  </property>
</Properties>
</file>